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47" w:rsidRPr="00BE5ADD" w:rsidRDefault="00325147" w:rsidP="00325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47" w:rsidRPr="00BE5ADD" w:rsidRDefault="00325147" w:rsidP="0032514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325147" w:rsidRPr="00BE5ADD" w:rsidRDefault="00325147" w:rsidP="0032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147" w:rsidRPr="00BE5ADD" w:rsidRDefault="009E0C06" w:rsidP="00325147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8B">
        <w:rPr>
          <w:rFonts w:ascii="Times New Roman" w:hAnsi="Times New Roman" w:cs="Times New Roman"/>
          <w:b/>
          <w:sz w:val="28"/>
          <w:szCs w:val="28"/>
        </w:rPr>
        <w:t>25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1D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41D8B">
        <w:rPr>
          <w:rFonts w:ascii="Times New Roman" w:hAnsi="Times New Roman" w:cs="Times New Roman"/>
          <w:b/>
          <w:sz w:val="28"/>
          <w:szCs w:val="28"/>
        </w:rPr>
        <w:t>11</w:t>
      </w:r>
    </w:p>
    <w:p w:rsidR="00325147" w:rsidRPr="00BE5ADD" w:rsidRDefault="00325147" w:rsidP="0032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57D" w:rsidRPr="00F87AAC" w:rsidRDefault="0036557D" w:rsidP="00325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муниципального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333966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Солнцевского района 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Курской области, бюджетных росписей главных распорядителей (распорядителей) средств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Ивановский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</w:p>
    <w:p w:rsidR="0036557D" w:rsidRPr="00BE5ADD" w:rsidRDefault="0036557D" w:rsidP="0036557D">
      <w:pPr>
        <w:tabs>
          <w:tab w:val="left" w:pos="828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8D77E1">
      <w:pPr>
        <w:tabs>
          <w:tab w:val="left" w:pos="82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 статьи 217 и пунктом 1 статьи 219.1 Бюджетного кодекса Российской Федерации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3396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Солнцевского района Курской области</w:t>
      </w:r>
      <w:proofErr w:type="gramStart"/>
      <w:r w:rsidR="00BB109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5147" w:rsidRPr="00BE5ADD">
        <w:rPr>
          <w:rFonts w:ascii="Times New Roman" w:hAnsi="Times New Roman" w:cs="Times New Roman"/>
          <w:sz w:val="28"/>
          <w:szCs w:val="28"/>
        </w:rPr>
        <w:t>остановляет</w:t>
      </w:r>
      <w:r w:rsidR="00CD2101" w:rsidRPr="00BE5ADD">
        <w:rPr>
          <w:rFonts w:ascii="Times New Roman" w:hAnsi="Times New Roman" w:cs="Times New Roman"/>
          <w:sz w:val="28"/>
          <w:szCs w:val="28"/>
        </w:rPr>
        <w:t>:</w:t>
      </w:r>
    </w:p>
    <w:p w:rsidR="0036557D" w:rsidRPr="00BE5ADD" w:rsidRDefault="0036557D" w:rsidP="0036557D">
      <w:pPr>
        <w:numPr>
          <w:ilvl w:val="0"/>
          <w:numId w:val="1"/>
        </w:numPr>
        <w:tabs>
          <w:tab w:val="left" w:pos="909"/>
        </w:tabs>
        <w:spacing w:after="0" w:line="247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7D" w:rsidRPr="00BE5ADD" w:rsidRDefault="0036557D" w:rsidP="0036557D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36557D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8D77E1" w:rsidP="008D77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1 января 2020 года.</w:t>
      </w:r>
    </w:p>
    <w:p w:rsidR="0036557D" w:rsidRPr="00BE5ADD" w:rsidRDefault="0036557D" w:rsidP="0036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E1" w:rsidRPr="00BE5ADD" w:rsidRDefault="00333966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720D9F" w:rsidRPr="00BE5A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20D9F" w:rsidRPr="00BE5ADD">
        <w:rPr>
          <w:rFonts w:ascii="Times New Roman" w:hAnsi="Times New Roman" w:cs="Times New Roman"/>
          <w:sz w:val="28"/>
          <w:szCs w:val="28"/>
        </w:rPr>
        <w:t>лав</w:t>
      </w:r>
      <w:r w:rsidRPr="00BE5ADD">
        <w:rPr>
          <w:rFonts w:ascii="Times New Roman" w:hAnsi="Times New Roman" w:cs="Times New Roman"/>
          <w:sz w:val="28"/>
          <w:szCs w:val="28"/>
        </w:rPr>
        <w:t>ы</w:t>
      </w:r>
      <w:r w:rsidR="009B49F2" w:rsidRPr="00BE5ADD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0D9F" w:rsidRPr="00BE5ADD" w:rsidRDefault="00720D9F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                  Т.П.Никифорова</w:t>
      </w:r>
    </w:p>
    <w:p w:rsidR="008D77E1" w:rsidRPr="00BE5ADD" w:rsidRDefault="008D77E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325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</w:t>
      </w:r>
      <w:r w:rsidR="00720D9F" w:rsidRPr="00BE5AD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25147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20D9F" w:rsidRPr="00BE5ADD" w:rsidRDefault="00333966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722C1" w:rsidRPr="00BE5ADD" w:rsidRDefault="000F3C6D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от </w:t>
      </w:r>
      <w:r w:rsidR="00741D8B">
        <w:rPr>
          <w:rFonts w:ascii="Times New Roman" w:hAnsi="Times New Roman" w:cs="Times New Roman"/>
          <w:sz w:val="28"/>
          <w:szCs w:val="28"/>
        </w:rPr>
        <w:t>25</w:t>
      </w:r>
      <w:r w:rsidR="009B49F2" w:rsidRPr="00BE5ADD">
        <w:rPr>
          <w:rFonts w:ascii="Times New Roman" w:hAnsi="Times New Roman" w:cs="Times New Roman"/>
          <w:sz w:val="28"/>
          <w:szCs w:val="28"/>
        </w:rPr>
        <w:t>.0</w:t>
      </w:r>
      <w:r w:rsidR="00741D8B">
        <w:rPr>
          <w:rFonts w:ascii="Times New Roman" w:hAnsi="Times New Roman" w:cs="Times New Roman"/>
          <w:sz w:val="28"/>
          <w:szCs w:val="28"/>
        </w:rPr>
        <w:t>3</w:t>
      </w:r>
      <w:r w:rsidR="009B49F2" w:rsidRPr="00BE5ADD">
        <w:rPr>
          <w:rFonts w:ascii="Times New Roman" w:hAnsi="Times New Roman" w:cs="Times New Roman"/>
          <w:sz w:val="28"/>
          <w:szCs w:val="28"/>
        </w:rPr>
        <w:t>.</w:t>
      </w:r>
      <w:r w:rsidR="00720D9F" w:rsidRPr="00BE5ADD">
        <w:rPr>
          <w:rFonts w:ascii="Times New Roman" w:hAnsi="Times New Roman" w:cs="Times New Roman"/>
          <w:sz w:val="28"/>
          <w:szCs w:val="28"/>
        </w:rPr>
        <w:t>202</w:t>
      </w:r>
      <w:r w:rsidR="00741D8B">
        <w:rPr>
          <w:rFonts w:ascii="Times New Roman" w:hAnsi="Times New Roman" w:cs="Times New Roman"/>
          <w:sz w:val="28"/>
          <w:szCs w:val="28"/>
        </w:rPr>
        <w:t>2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1D8B">
        <w:rPr>
          <w:rFonts w:ascii="Times New Roman" w:hAnsi="Times New Roman" w:cs="Times New Roman"/>
          <w:sz w:val="28"/>
          <w:szCs w:val="28"/>
        </w:rPr>
        <w:t>11</w:t>
      </w:r>
    </w:p>
    <w:p w:rsidR="00720D9F" w:rsidRPr="00BE5ADD" w:rsidRDefault="00720D9F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F6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2C1" w:rsidRPr="00BE5ADD" w:rsidRDefault="000722C1" w:rsidP="0007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Ивановский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72F16" w:rsidRPr="00BE5ADD" w:rsidRDefault="000722C1" w:rsidP="00684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(далее по тексту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разработан в соответствии со статьями 217 и 219.1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Российской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Федерации, решением Собрания </w:t>
      </w:r>
      <w:r w:rsidR="00333966" w:rsidRPr="00BE5ADD">
        <w:rPr>
          <w:rFonts w:ascii="Times New Roman" w:hAnsi="Times New Roman" w:cs="Times New Roman"/>
          <w:sz w:val="28"/>
          <w:szCs w:val="28"/>
        </w:rPr>
        <w:t>депутатов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 бюджете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на очередной финансовый год и на плановый период,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распорядителей средств местного бюджета (главных администраторов источников финансирования дефицита местного бюджета).</w:t>
      </w:r>
    </w:p>
    <w:p w:rsidR="000722C1" w:rsidRPr="00BE5ADD" w:rsidRDefault="000722C1" w:rsidP="00A7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Состав сводной бюджетной росписи местного бюджета, порядок ее составления и утверждения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1.</w:t>
      </w:r>
      <w:r w:rsidRPr="00BE5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Администраци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ей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(далее – </w:t>
      </w:r>
      <w:r w:rsidR="00C76589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 по форме, согласно приложению № 1 к настоящему Порядку и утверждается</w:t>
      </w:r>
      <w:r w:rsidR="00504667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до начала очередного финансового года, за исключением случаев, предусмотренных статьями 190 и 191 Бюджетного кодекса Российской Федерации.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сводной бюджетной росписи несет 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2.</w:t>
      </w:r>
      <w:r w:rsidRPr="00BE5ADD">
        <w:rPr>
          <w:rFonts w:ascii="Times New Roman" w:hAnsi="Times New Roman" w:cs="Times New Roman"/>
          <w:sz w:val="28"/>
          <w:szCs w:val="28"/>
        </w:rPr>
        <w:tab/>
        <w:t>В состав сводной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 бюджетные  ассигнования  по  расходам  местного  бюджета  на  очередной финансовый год и плановый период в разрезе: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главных распорядителей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разделов, подразделов, целевых статей (муниципальных программ и непрограммных направлений деятельности);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- групп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;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 с учетом изменений должны соответствовать показателям Решения о бюджете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на очередной финансовый год и плановый период (далее – Решение о местном бюджете).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22C1" w:rsidRPr="00BE5ADD">
        <w:rPr>
          <w:rFonts w:ascii="Times New Roman" w:hAnsi="Times New Roman" w:cs="Times New Roman"/>
          <w:sz w:val="28"/>
          <w:szCs w:val="28"/>
        </w:rPr>
        <w:t>Показатели сводной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4.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5.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(далее -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7803D2" w:rsidRPr="00BE5ADD">
        <w:rPr>
          <w:rFonts w:ascii="Times New Roman" w:hAnsi="Times New Roman" w:cs="Times New Roman"/>
          <w:sz w:val="28"/>
          <w:szCs w:val="28"/>
        </w:rPr>
        <w:t>местного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6. Формирование Предложений главными распорядителями (главными администраторами источников) в сводную бюджетную роспись (далее - Предложения в сводную бюджетную роспись) осуществляется по форме согласно приложению N 4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сводную роспись главными распорядителями представляются </w:t>
      </w:r>
      <w:r w:rsidR="00C76589" w:rsidRPr="00BE5ADD">
        <w:rPr>
          <w:rFonts w:ascii="Times New Roman" w:hAnsi="Times New Roman" w:cs="Times New Roman"/>
          <w:sz w:val="28"/>
          <w:szCs w:val="28"/>
        </w:rPr>
        <w:t>главному специалисту-эксперту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на бумажном носителе.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Лимиты 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147" w:rsidRPr="00BE5ADD" w:rsidRDefault="0032514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местного бюджета,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кодам цели в течение пяти рабочих дней со дня утверждения сводной бюджетной росписи.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лимиты бюджетных обязательств в связи с принятием решения Собрания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7.1. Утверждение изменений лимитов бюджетных обязательств на очередной финансовый год и на первый год планового периода,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8.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группы, подгруппы и элементы видов расходов классификации расходов местного бюджета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,</w:t>
      </w:r>
      <w:r w:rsidR="00634965" w:rsidRPr="00BE5A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4965" w:rsidRPr="00BE5ADD">
        <w:rPr>
          <w:rFonts w:ascii="Times New Roman" w:hAnsi="Times New Roman" w:cs="Times New Roman"/>
          <w:sz w:val="28"/>
          <w:szCs w:val="28"/>
        </w:rPr>
        <w:t>оды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 также коды цели.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 в лимиты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ств </w:t>
      </w:r>
      <w:r w:rsidR="00634965" w:rsidRPr="00BE5A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34965" w:rsidRPr="00BE5ADD">
        <w:rPr>
          <w:rFonts w:ascii="Times New Roman" w:hAnsi="Times New Roman" w:cs="Times New Roman"/>
          <w:sz w:val="28"/>
          <w:szCs w:val="28"/>
        </w:rPr>
        <w:t>едоставляются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5 к настоящему Порядку. 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 Лимиты бюджетных обязательств по источникам финансирования дефицита местного бюджета не формируются.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9.1. Лимиты бюджетных обязательств утверждаются в пределах бюджетных ассигнований, установленных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9.2.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Доведение показателей сводной бюджетной росписи и лимитов бюджетных обязательств до главных распорядителей (главных 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85085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сводной росписи и лимитов бюджетных обязательств, в связи с принятием Решения о местном бюджете и решения Собрания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бюджете по форме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"Уведомления о бюджетных ассигнованиях (изменении бюджетных ассигнований) по расходам", "Уведомления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на очередной (текущий) финансовый год и на плановый период (изменения) по формам "Уведомление о лимитах бюджетных обязательств (изменении лимитов бюджетных обязательств) по расходам" соответственн</w:t>
      </w:r>
      <w:r w:rsidR="00684F34" w:rsidRPr="00BE5AD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84F34" w:rsidRPr="00BE5AD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84F34" w:rsidRPr="00BE5ADD">
        <w:rPr>
          <w:rFonts w:ascii="Times New Roman" w:hAnsi="Times New Roman" w:cs="Times New Roman"/>
          <w:sz w:val="28"/>
          <w:szCs w:val="28"/>
        </w:rPr>
        <w:t xml:space="preserve"> N 8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IV. Ведение сводной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 посредством внесения изменений в показатели сводной бюджетной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(далее - 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обязательств).</w:t>
      </w:r>
    </w:p>
    <w:p w:rsidR="00206D7C" w:rsidRPr="00BE5ADD" w:rsidRDefault="000722C1" w:rsidP="002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осуществляется по предложениям главных распорядителей (главных администраторов источников).</w:t>
      </w:r>
    </w:p>
    <w:p w:rsidR="00E0423C" w:rsidRPr="00BE5ADD" w:rsidRDefault="00E0423C" w:rsidP="000722C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основаниям, установленным статьями 217 и 232 </w:t>
      </w:r>
      <w:hyperlink r:id="rId9" w:history="1">
        <w:r w:rsidRPr="00BE5AD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, по дополнительным основаниям, установленным в Решении о местном бюджете, а также в случаях, не приводящих к изменениям показателей, утвержденных Решением о местном бюджете.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в соответствии с основаниями, установленными статьей 217</w:t>
      </w:r>
      <w:r w:rsidR="00AF303A" w:rsidRPr="00BE5ADD">
        <w:rPr>
          <w:rFonts w:ascii="Times New Roman" w:hAnsi="Times New Roman" w:cs="Times New Roman"/>
          <w:sz w:val="28"/>
          <w:szCs w:val="28"/>
        </w:rPr>
        <w:t xml:space="preserve"> и 232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F303A" w:rsidRPr="00BE5ADD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об изменении сводной росписи и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едующем порядке.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12.1.1.</w:t>
      </w:r>
      <w:r w:rsidR="00DC02A6" w:rsidRPr="00BE5ADD">
        <w:rPr>
          <w:rFonts w:ascii="Times New Roman" w:hAnsi="Times New Roman" w:cs="Times New Roman"/>
          <w:sz w:val="28"/>
          <w:szCs w:val="28"/>
        </w:rPr>
        <w:t>При формировании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6D7C"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г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лавные распорядители (главные администраторы источников) местного бюджета письменно уведомляют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597E67" w:rsidRPr="00BE5AD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с указанием экономически обоснованных причин (расчетов) и оснований для внесения из</w:t>
      </w:r>
      <w:r w:rsidR="00597E67" w:rsidRPr="00BE5ADD">
        <w:rPr>
          <w:rFonts w:ascii="Times New Roman" w:hAnsi="Times New Roman" w:cs="Times New Roman"/>
          <w:sz w:val="28"/>
          <w:szCs w:val="28"/>
        </w:rPr>
        <w:t>менений, а также предложения в сводную бюджетную</w:t>
      </w:r>
      <w:proofErr w:type="gramEnd"/>
      <w:r w:rsidR="00597E67" w:rsidRPr="00BE5ADD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1474E7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по </w:t>
      </w:r>
      <w:r w:rsidR="001474E7" w:rsidRPr="00BE5ADD">
        <w:rPr>
          <w:rFonts w:ascii="Times New Roman" w:hAnsi="Times New Roman" w:cs="Times New Roman"/>
          <w:sz w:val="28"/>
          <w:szCs w:val="28"/>
        </w:rPr>
        <w:t>форме согласно приложению 4 и (или) 5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12.1.2. По уменьшаемым расходам не допускается образование кредиторской задолженности, о чем главные распорядители информируют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письменном виде (письменное обязательство о недопущении образования кредиторской задолженности).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</w:t>
      </w:r>
      <w:r w:rsidR="005B2561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>»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для увеличения иных бюджетных ассигнований без внесения изменений в Решение о местном бюджете не допускается.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12.1.3. </w:t>
      </w:r>
      <w:proofErr w:type="gramStart"/>
      <w:r w:rsidR="00950B8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письменного обращения от главного распорядителя в отдел проверяет предложения по изменению росписи расходов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В случае если предложения главных распорядителей об изменении сводной росписи и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проходят контроль, </w:t>
      </w:r>
      <w:r w:rsidR="009915B3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 без исполнения, с указанием причины несоответствия (неверное заполнение документа; непредставление (неверное представление /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не в полном объеме) экономически обоснованных причин и расчетов; не прохождение контроля; отсутствие необходимости внесения изменений).</w:t>
      </w:r>
    </w:p>
    <w:p w:rsidR="000D673D" w:rsidRPr="00BE5ADD" w:rsidRDefault="000D673D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главных распорядителей об изменении сводной росписи и (или) лимитов бюджетных обязательств согласовываются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или его заместителем.</w:t>
      </w:r>
    </w:p>
    <w:p w:rsidR="002F32DD" w:rsidRPr="00BE5ADD" w:rsidRDefault="00626A7C" w:rsidP="00626A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бюджетную роспись и </w:t>
      </w:r>
      <w:r w:rsidR="00B01606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основаниям, указанным в </w:t>
      </w:r>
      <w:hyperlink r:id="rId10" w:history="1">
        <w:r w:rsidRPr="00BE5ADD">
          <w:rPr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 w:rsidRPr="00BE5ADD"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12.1.4.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Если предложения по изменению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BE5ADD">
        <w:rPr>
          <w:rFonts w:ascii="Times New Roman" w:hAnsi="Times New Roman" w:cs="Times New Roman"/>
          <w:sz w:val="28"/>
          <w:szCs w:val="28"/>
        </w:rPr>
        <w:t>росписи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проходят контроль,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после согласования их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сельсовета  Солнцевского района Курской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BE5ADD">
        <w:rPr>
          <w:rFonts w:ascii="Times New Roman" w:hAnsi="Times New Roman" w:cs="Times New Roman"/>
          <w:sz w:val="28"/>
          <w:szCs w:val="28"/>
        </w:rPr>
        <w:t xml:space="preserve">заместителем, формирует </w:t>
      </w:r>
      <w:r w:rsidR="006A74D1" w:rsidRPr="00BE5ADD">
        <w:rPr>
          <w:rFonts w:ascii="Times New Roman" w:hAnsi="Times New Roman" w:cs="Times New Roman"/>
          <w:sz w:val="28"/>
          <w:szCs w:val="28"/>
        </w:rPr>
        <w:t>"У</w:t>
      </w:r>
      <w:r w:rsidRPr="00BE5ADD">
        <w:rPr>
          <w:rFonts w:ascii="Times New Roman" w:hAnsi="Times New Roman" w:cs="Times New Roman"/>
          <w:sz w:val="28"/>
          <w:szCs w:val="28"/>
        </w:rPr>
        <w:t>ведомление об изменении бюджетных ассигнований</w:t>
      </w:r>
      <w:r w:rsidR="006A74D1" w:rsidRPr="00BE5ADD">
        <w:rPr>
          <w:rFonts w:ascii="Times New Roman" w:hAnsi="Times New Roman" w:cs="Times New Roman"/>
          <w:sz w:val="28"/>
          <w:szCs w:val="28"/>
        </w:rPr>
        <w:t xml:space="preserve"> по расходам", </w:t>
      </w:r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"Уведомление об изменении бюджетных ассигнований по источникам финансирования дефицита бюджета" и (или) "Уведомление об изменении лимитов</w:t>
      </w:r>
      <w:proofErr w:type="gramEnd"/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бюджетных обязательств по расходам</w:t>
      </w:r>
      <w:proofErr w:type="gramStart"/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="00FA6273" w:rsidRPr="00BE5A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6273" w:rsidRPr="00BE5ADD">
        <w:rPr>
          <w:rFonts w:ascii="Times New Roman" w:hAnsi="Times New Roman" w:cs="Times New Roman"/>
          <w:sz w:val="28"/>
          <w:szCs w:val="28"/>
        </w:rPr>
        <w:t>по форм</w:t>
      </w:r>
      <w:r w:rsidR="006A74D1" w:rsidRPr="00BE5ADD">
        <w:rPr>
          <w:rFonts w:ascii="Times New Roman" w:hAnsi="Times New Roman" w:cs="Times New Roman"/>
          <w:sz w:val="28"/>
          <w:szCs w:val="28"/>
        </w:rPr>
        <w:t>ам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0D673D" w:rsidRPr="00BE5ADD">
        <w:rPr>
          <w:rFonts w:ascii="Times New Roman" w:hAnsi="Times New Roman" w:cs="Times New Roman"/>
          <w:sz w:val="28"/>
          <w:szCs w:val="28"/>
        </w:rPr>
        <w:t>.1</w:t>
      </w:r>
      <w:r w:rsidR="006A74D1" w:rsidRPr="00BE5ADD">
        <w:rPr>
          <w:rFonts w:ascii="Times New Roman" w:hAnsi="Times New Roman" w:cs="Times New Roman"/>
          <w:sz w:val="28"/>
          <w:szCs w:val="28"/>
        </w:rPr>
        <w:t>; 7.1; 8.1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Порядку) за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подписью Главы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</w:t>
      </w:r>
      <w:r w:rsidR="006A74D1" w:rsidRPr="00BE5ADD">
        <w:rPr>
          <w:rFonts w:ascii="Times New Roman" w:hAnsi="Times New Roman" w:cs="Times New Roman"/>
          <w:sz w:val="28"/>
          <w:szCs w:val="28"/>
        </w:rPr>
        <w:t>й области или его заместителя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местного бюджета в случаях изменения лимитов бюджетных обязательств, не приводящих к изменению показателей сводной росписи, между разделами, подразделами, целевыми статьями (муниципальными программами муниципального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группами, подгруппами и элементами видов расходов классификации расходов местного бюджета, </w:t>
      </w:r>
      <w:r w:rsidR="005740EA" w:rsidRPr="00BE5ADD">
        <w:rPr>
          <w:rFonts w:ascii="Times New Roman" w:hAnsi="Times New Roman" w:cs="Times New Roman"/>
          <w:sz w:val="28"/>
          <w:szCs w:val="28"/>
        </w:rPr>
        <w:t xml:space="preserve">кодами расходов классификации операций сектора государственного управления,  </w:t>
      </w:r>
      <w:r w:rsidRPr="00BE5ADD">
        <w:rPr>
          <w:rFonts w:ascii="Times New Roman" w:hAnsi="Times New Roman" w:cs="Times New Roman"/>
          <w:sz w:val="28"/>
          <w:szCs w:val="28"/>
        </w:rPr>
        <w:t>кодами цели, между подведомственными получателями средств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местного бюджета, самостоятельно формируют уведомление об изменении бюджетных ассигновани</w:t>
      </w:r>
      <w:r w:rsidR="00FA6273" w:rsidRPr="00BE5ADD">
        <w:rPr>
          <w:rFonts w:ascii="Times New Roman" w:hAnsi="Times New Roman" w:cs="Times New Roman"/>
          <w:sz w:val="28"/>
          <w:szCs w:val="28"/>
        </w:rPr>
        <w:t>й по форме согласно приложению 6</w:t>
      </w:r>
      <w:r w:rsidR="005740EA" w:rsidRPr="00BE5ADD">
        <w:rPr>
          <w:rFonts w:ascii="Times New Roman" w:hAnsi="Times New Roman" w:cs="Times New Roman"/>
          <w:sz w:val="28"/>
          <w:szCs w:val="28"/>
        </w:rPr>
        <w:t>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 за подписью руководителя (заместителя).</w:t>
      </w:r>
    </w:p>
    <w:p w:rsidR="000722C1" w:rsidRPr="00BE5ADD" w:rsidRDefault="00597E6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12.4. После подписания с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правок об изменении </w:t>
      </w:r>
      <w:r w:rsidR="002546B0" w:rsidRPr="00BE5ADD">
        <w:rPr>
          <w:rFonts w:ascii="Times New Roman" w:hAnsi="Times New Roman" w:cs="Times New Roman"/>
          <w:sz w:val="28"/>
          <w:szCs w:val="28"/>
        </w:rPr>
        <w:t>сводной бюджетной росписи и лимитов бюджетных обязатель</w:t>
      </w:r>
      <w:proofErr w:type="gramStart"/>
      <w:r w:rsidR="002546B0" w:rsidRPr="00BE5ADD">
        <w:rPr>
          <w:rFonts w:ascii="Times New Roman" w:hAnsi="Times New Roman" w:cs="Times New Roman"/>
          <w:sz w:val="28"/>
          <w:szCs w:val="28"/>
        </w:rPr>
        <w:t>ств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BE5ADD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F03FA9" w:rsidRPr="00BE5ADD">
        <w:rPr>
          <w:rFonts w:ascii="Times New Roman" w:hAnsi="Times New Roman" w:cs="Times New Roman"/>
          <w:sz w:val="28"/>
          <w:szCs w:val="28"/>
        </w:rPr>
        <w:t xml:space="preserve">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0722C1" w:rsidRPr="00BE5ADD">
        <w:rPr>
          <w:rFonts w:ascii="Times New Roman" w:hAnsi="Times New Roman" w:cs="Times New Roman"/>
          <w:sz w:val="28"/>
          <w:szCs w:val="28"/>
        </w:rPr>
        <w:t>оставляет у себя первый экземпляр уведомления с письмом главного распорядителя средств местного бюджета, второй экземпляр направляет главному распорядителю средств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 Изменения в сводную бюджетную роспись, производимые в соответствии со статьей 217 Бюджетного кодекса Российской Федерации, вносятся по различным видам оснований в следующие предельные сроки: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12.5.1. Изменения в сводную роспись без ограничения предельных сроков вносятся по следующим основаниям: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исполнения судебных актов, предусматривающих обращение взыскания на средства местного бюджета;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12.5.2. Не более двух раз в месяц могут осуществляться изменения в сводную роспись, связанные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получателями бюджетных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увеличением бюджетных ассигнований по отдельным разделам, подразделам, целевым статьям, видам расходов местного бюджета за счет экономии по использованию бюджетных ассигнований на оказание муниципальных услуг;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текущим финансовым годом и плановым периодом;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видами источников финансирования дефицита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 этом предложения главных распорядителей по внесению изменений в сводную бюджетную роспись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окончания изменяемого месяца.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12.5.3.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(или) лимиты бюджетных обязательств </w:t>
      </w:r>
      <w:r w:rsidRPr="00BE5ADD">
        <w:rPr>
          <w:rFonts w:ascii="Times New Roman" w:hAnsi="Times New Roman" w:cs="Times New Roman"/>
          <w:sz w:val="28"/>
          <w:szCs w:val="28"/>
        </w:rPr>
        <w:t>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о местном бюджете, осуществляется в сроки, не выходящие за предел месяца, в котором поступило уведомление об изменении росписи расходов</w:t>
      </w:r>
      <w:r w:rsidR="00121A63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или платежное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поручение.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12.6. Внесение изменений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в сводную роспись в связи с принятием Решения о внесении изменений в местный бюджет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производится в течение десяти рабочих дней после принятия соответствующего Решения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12.7. 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13.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35C42" w:rsidRPr="00BE5ADD" w:rsidRDefault="00121A63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15 декабря текущего финансового года.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14. В состав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муниципального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классификации расходов местного бюджета, кодам цели;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2820AC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16. Бюджетная роспись</w:t>
      </w:r>
      <w:r w:rsidR="002820AC" w:rsidRPr="00BE5AD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составляются и утверждаю</w:t>
      </w:r>
      <w:r w:rsidRPr="00BE5ADD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</w:t>
      </w:r>
      <w:r w:rsidR="00FD6B3B" w:rsidRPr="00BE5ADD">
        <w:rPr>
          <w:rFonts w:ascii="Times New Roman" w:hAnsi="Times New Roman" w:cs="Times New Roman"/>
          <w:sz w:val="28"/>
          <w:szCs w:val="28"/>
        </w:rPr>
        <w:t>н</w:t>
      </w:r>
      <w:r w:rsidR="002820AC" w:rsidRPr="00BE5ADD">
        <w:rPr>
          <w:rFonts w:ascii="Times New Roman" w:hAnsi="Times New Roman" w:cs="Times New Roman"/>
          <w:sz w:val="28"/>
          <w:szCs w:val="28"/>
        </w:rPr>
        <w:t>а основании Уведомлений по формам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2820AC" w:rsidRPr="00BE5AD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D6B3B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0AC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D6B3B" w:rsidRPr="00BE5ADD">
        <w:rPr>
          <w:rFonts w:ascii="Times New Roman" w:hAnsi="Times New Roman" w:cs="Times New Roman"/>
          <w:sz w:val="28"/>
          <w:szCs w:val="28"/>
        </w:rPr>
        <w:t xml:space="preserve"> 6</w:t>
      </w:r>
      <w:r w:rsidR="002820AC" w:rsidRPr="00BE5ADD">
        <w:rPr>
          <w:rFonts w:ascii="Times New Roman" w:hAnsi="Times New Roman" w:cs="Times New Roman"/>
          <w:sz w:val="28"/>
          <w:szCs w:val="28"/>
        </w:rPr>
        <w:t>; 7; 8</w:t>
      </w:r>
      <w:r w:rsidR="00FD6B3B" w:rsidRPr="00BE5AD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по соответствующему главному распорядителю (главному администратору источников</w:t>
      </w:r>
      <w:r w:rsidR="008A70A7" w:rsidRPr="00BE5ADD">
        <w:rPr>
          <w:rFonts w:ascii="Times New Roman" w:hAnsi="Times New Roman" w:cs="Times New Roman"/>
          <w:sz w:val="28"/>
          <w:szCs w:val="28"/>
        </w:rPr>
        <w:t>)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17. Лимиты бюджетных обязательств распорядителей (получателей) средств местного бюджета утверждаются в пределах лимитов, установленных для главных распорядителей средств местного бюджета, в ведении которых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18. Порядок организации работ по составлению, утверждению и ведению бюджетной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о местном бюджете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C117D0" w:rsidRPr="00BE5ADD">
        <w:rPr>
          <w:rFonts w:ascii="Times New Roman" w:hAnsi="Times New Roman" w:cs="Times New Roman"/>
          <w:sz w:val="28"/>
          <w:szCs w:val="28"/>
        </w:rPr>
        <w:t>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47645D" w:rsidRPr="00BE5ADD" w:rsidRDefault="000722C1" w:rsidP="00A72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DD">
        <w:rPr>
          <w:rFonts w:ascii="Times New Roman" w:hAnsi="Times New Roman" w:cs="Times New Roman"/>
          <w:sz w:val="28"/>
          <w:szCs w:val="2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Справки,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10.1,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VII. Ведение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20.3. Решение </w:t>
      </w:r>
      <w:r w:rsidR="002E0A58" w:rsidRPr="00BE5AD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пункте 12.1.4 настоящего Порядка, внести изменения в показатели своей бюджетной росписи и лимиты бюджетных обязательств.</w:t>
      </w:r>
    </w:p>
    <w:p w:rsidR="00B21ED2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и лимитов бюджетных обязатель</w:t>
      </w:r>
      <w:proofErr w:type="gramStart"/>
      <w:r w:rsidRPr="00BE5AD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>авного распорядителя с учетом внесенных изменений на конец месяца должны соответствовать сводной бюджетной росписи и лимитам бюджетных обязательств.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4764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7645D" w:rsidRPr="00BE5AD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Приложение № 1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096B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5096B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85096B" w:rsidRPr="00BE5ADD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47645D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598C" w:rsidRPr="00BE5ADD" w:rsidRDefault="00ED0468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1B598C" w:rsidRPr="00BE5ADD">
        <w:rPr>
          <w:rFonts w:ascii="Times New Roman" w:hAnsi="Times New Roman" w:cs="Times New Roman"/>
          <w:sz w:val="28"/>
          <w:szCs w:val="28"/>
        </w:rPr>
        <w:t>"УТВЕРЖДАЮ"</w:t>
      </w:r>
    </w:p>
    <w:p w:rsidR="0085096B" w:rsidRPr="00BE5ADD" w:rsidRDefault="0085096B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proofErr w:type="gramEnd"/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47645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  <w:bookmarkStart w:id="0" w:name="page_total_master0_1"/>
      <w:bookmarkStart w:id="1" w:name="page_total_1"/>
      <w:bookmarkEnd w:id="0"/>
      <w:bookmarkEnd w:id="1"/>
    </w:p>
    <w:tbl>
      <w:tblPr>
        <w:tblW w:w="15768" w:type="dxa"/>
        <w:tblInd w:w="-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520"/>
        <w:gridCol w:w="360"/>
        <w:gridCol w:w="418"/>
        <w:gridCol w:w="690"/>
        <w:gridCol w:w="515"/>
        <w:gridCol w:w="92"/>
        <w:gridCol w:w="315"/>
        <w:gridCol w:w="135"/>
        <w:gridCol w:w="411"/>
        <w:gridCol w:w="363"/>
        <w:gridCol w:w="1621"/>
        <w:gridCol w:w="179"/>
        <w:gridCol w:w="125"/>
        <w:gridCol w:w="237"/>
        <w:gridCol w:w="541"/>
        <w:gridCol w:w="1617"/>
        <w:gridCol w:w="1206"/>
        <w:gridCol w:w="236"/>
        <w:gridCol w:w="898"/>
        <w:gridCol w:w="2340"/>
        <w:gridCol w:w="485"/>
        <w:gridCol w:w="236"/>
        <w:gridCol w:w="1799"/>
      </w:tblGrid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н</w:t>
            </w:r>
            <w:r>
              <w:rPr>
                <w:rFonts w:ascii="Arial" w:hAnsi="Arial" w:cs="Arial"/>
                <w:sz w:val="24"/>
                <w:szCs w:val="24"/>
              </w:rPr>
              <w:t xml:space="preserve">а 2022г. и плановый период 2023 и 2024гг. </w:t>
            </w:r>
          </w:p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Ивановского сельсовета Солнцевского района Курской области 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БК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объекта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4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плановый период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25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</w:t>
            </w:r>
          </w:p>
        </w:tc>
        <w:tc>
          <w:tcPr>
            <w:tcW w:w="2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001010271100С1402129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001010421101С1437247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001010473100С1402853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001011312201С1435244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001011376100С1404244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001011377200С1439244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148 501.00 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166 732.00 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172 553.00 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64 251.00 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72 139.00 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74 657.00 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18 423.00 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001030913201С1460244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001041215101С1405244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001050307301С1434244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001050377200С1433244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4 352 518.00 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6 352 301.00 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6 223 742.00 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00108010110113330111 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296 008.00 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00108010110113330119 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89 395.00 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001080101101S3330111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944 736.00 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999 756.00 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1 052 485.00 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001080101101S3330119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285 310.00 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301 926.00 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317 850.00 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001080101101С1401853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001100102201С1445312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8" w:type="dxa"/>
            <w:gridSpan w:val="1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9 443 872.23 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10 177 584.23 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10 126 017.23 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4446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специалист-эксперт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Дубинина Н.А.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84715422658 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446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(телефон)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 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</w:t>
            </w:r>
          </w:p>
        </w:tc>
        <w:tc>
          <w:tcPr>
            <w:tcW w:w="122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Pr="00BE5ADD" w:rsidRDefault="00D422EA" w:rsidP="00D422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22EA" w:rsidRPr="00BE5ADD" w:rsidSect="00D422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F1" w:rsidRDefault="001F49F1" w:rsidP="00904DDC">
      <w:pPr>
        <w:spacing w:after="0" w:line="240" w:lineRule="auto"/>
      </w:pPr>
      <w:r>
        <w:separator/>
      </w:r>
    </w:p>
  </w:endnote>
  <w:endnote w:type="continuationSeparator" w:id="0">
    <w:p w:rsidR="001F49F1" w:rsidRDefault="001F49F1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47" w:rsidRDefault="00325147">
    <w:pPr>
      <w:pStyle w:val="a4"/>
    </w:pPr>
  </w:p>
  <w:p w:rsidR="00325147" w:rsidRDefault="00325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F1" w:rsidRDefault="001F49F1" w:rsidP="00904DDC">
      <w:pPr>
        <w:spacing w:after="0" w:line="240" w:lineRule="auto"/>
      </w:pPr>
      <w:r>
        <w:separator/>
      </w:r>
    </w:p>
  </w:footnote>
  <w:footnote w:type="continuationSeparator" w:id="0">
    <w:p w:rsidR="001F49F1" w:rsidRDefault="001F49F1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4E7"/>
    <w:rsid w:val="0001624C"/>
    <w:rsid w:val="00034F95"/>
    <w:rsid w:val="000461E3"/>
    <w:rsid w:val="0006071C"/>
    <w:rsid w:val="000722C1"/>
    <w:rsid w:val="000B7002"/>
    <w:rsid w:val="000D5E61"/>
    <w:rsid w:val="000D673D"/>
    <w:rsid w:val="000F303D"/>
    <w:rsid w:val="000F3C6D"/>
    <w:rsid w:val="00121A63"/>
    <w:rsid w:val="001474E7"/>
    <w:rsid w:val="001B598C"/>
    <w:rsid w:val="001C6268"/>
    <w:rsid w:val="001E0496"/>
    <w:rsid w:val="001F49F1"/>
    <w:rsid w:val="00206D7C"/>
    <w:rsid w:val="002124E7"/>
    <w:rsid w:val="002255EF"/>
    <w:rsid w:val="002546B0"/>
    <w:rsid w:val="002554E5"/>
    <w:rsid w:val="002820AC"/>
    <w:rsid w:val="00285C49"/>
    <w:rsid w:val="002A09AB"/>
    <w:rsid w:val="002B3270"/>
    <w:rsid w:val="002D2A57"/>
    <w:rsid w:val="002E0A58"/>
    <w:rsid w:val="002E4CD9"/>
    <w:rsid w:val="002F32DD"/>
    <w:rsid w:val="00325147"/>
    <w:rsid w:val="00333966"/>
    <w:rsid w:val="0036557D"/>
    <w:rsid w:val="003702B4"/>
    <w:rsid w:val="00386CD7"/>
    <w:rsid w:val="003A4623"/>
    <w:rsid w:val="003D4F63"/>
    <w:rsid w:val="003F1538"/>
    <w:rsid w:val="004544B9"/>
    <w:rsid w:val="0047645D"/>
    <w:rsid w:val="004C1B6A"/>
    <w:rsid w:val="004C2C82"/>
    <w:rsid w:val="004E3983"/>
    <w:rsid w:val="004E6756"/>
    <w:rsid w:val="00500494"/>
    <w:rsid w:val="00504667"/>
    <w:rsid w:val="00540B0B"/>
    <w:rsid w:val="0055105E"/>
    <w:rsid w:val="005740EA"/>
    <w:rsid w:val="00593623"/>
    <w:rsid w:val="00597E67"/>
    <w:rsid w:val="005B2561"/>
    <w:rsid w:val="005B7FA2"/>
    <w:rsid w:val="005C3FA5"/>
    <w:rsid w:val="005E3622"/>
    <w:rsid w:val="005E792F"/>
    <w:rsid w:val="00607E50"/>
    <w:rsid w:val="00611776"/>
    <w:rsid w:val="00623EBD"/>
    <w:rsid w:val="00626A7C"/>
    <w:rsid w:val="00634965"/>
    <w:rsid w:val="006834D3"/>
    <w:rsid w:val="00684F34"/>
    <w:rsid w:val="00696718"/>
    <w:rsid w:val="006A74D1"/>
    <w:rsid w:val="006C491D"/>
    <w:rsid w:val="006D2F75"/>
    <w:rsid w:val="006E3118"/>
    <w:rsid w:val="00711AE4"/>
    <w:rsid w:val="00720D9F"/>
    <w:rsid w:val="007342DF"/>
    <w:rsid w:val="00741D8B"/>
    <w:rsid w:val="0074655F"/>
    <w:rsid w:val="007517FA"/>
    <w:rsid w:val="007778D5"/>
    <w:rsid w:val="007803D2"/>
    <w:rsid w:val="00787059"/>
    <w:rsid w:val="0081139A"/>
    <w:rsid w:val="0085096B"/>
    <w:rsid w:val="00872DCE"/>
    <w:rsid w:val="008A70A7"/>
    <w:rsid w:val="008C34E6"/>
    <w:rsid w:val="008C68C5"/>
    <w:rsid w:val="008D77E1"/>
    <w:rsid w:val="008F74BB"/>
    <w:rsid w:val="00904DDC"/>
    <w:rsid w:val="00905587"/>
    <w:rsid w:val="00950B89"/>
    <w:rsid w:val="00953444"/>
    <w:rsid w:val="009856DF"/>
    <w:rsid w:val="009915B3"/>
    <w:rsid w:val="00991743"/>
    <w:rsid w:val="00995933"/>
    <w:rsid w:val="009B38AC"/>
    <w:rsid w:val="009B49F2"/>
    <w:rsid w:val="009D1835"/>
    <w:rsid w:val="009E0C06"/>
    <w:rsid w:val="009F399F"/>
    <w:rsid w:val="00A351C5"/>
    <w:rsid w:val="00A61D1B"/>
    <w:rsid w:val="00A72F16"/>
    <w:rsid w:val="00A758D3"/>
    <w:rsid w:val="00AA2C01"/>
    <w:rsid w:val="00AB19DC"/>
    <w:rsid w:val="00AE5847"/>
    <w:rsid w:val="00AF303A"/>
    <w:rsid w:val="00B01606"/>
    <w:rsid w:val="00B21ED2"/>
    <w:rsid w:val="00B84855"/>
    <w:rsid w:val="00B9633F"/>
    <w:rsid w:val="00BA7A96"/>
    <w:rsid w:val="00BB1096"/>
    <w:rsid w:val="00BE5ADD"/>
    <w:rsid w:val="00BE7D5F"/>
    <w:rsid w:val="00BF6E1F"/>
    <w:rsid w:val="00C039C5"/>
    <w:rsid w:val="00C117D0"/>
    <w:rsid w:val="00C500CB"/>
    <w:rsid w:val="00C76589"/>
    <w:rsid w:val="00C85085"/>
    <w:rsid w:val="00CB0188"/>
    <w:rsid w:val="00CD2101"/>
    <w:rsid w:val="00CE5295"/>
    <w:rsid w:val="00D17C97"/>
    <w:rsid w:val="00D20C3A"/>
    <w:rsid w:val="00D34D84"/>
    <w:rsid w:val="00D35C42"/>
    <w:rsid w:val="00D4017C"/>
    <w:rsid w:val="00D422EA"/>
    <w:rsid w:val="00D61C0B"/>
    <w:rsid w:val="00D70D76"/>
    <w:rsid w:val="00D77AE0"/>
    <w:rsid w:val="00DA329A"/>
    <w:rsid w:val="00DA5459"/>
    <w:rsid w:val="00DA6710"/>
    <w:rsid w:val="00DC02A6"/>
    <w:rsid w:val="00DC15F9"/>
    <w:rsid w:val="00DE4EFD"/>
    <w:rsid w:val="00DE7956"/>
    <w:rsid w:val="00E0423C"/>
    <w:rsid w:val="00E22FCC"/>
    <w:rsid w:val="00E372F4"/>
    <w:rsid w:val="00E830B4"/>
    <w:rsid w:val="00ED0468"/>
    <w:rsid w:val="00ED44D7"/>
    <w:rsid w:val="00F03FA9"/>
    <w:rsid w:val="00F6085C"/>
    <w:rsid w:val="00F87AAC"/>
    <w:rsid w:val="00FA6273"/>
    <w:rsid w:val="00FB012A"/>
    <w:rsid w:val="00FD6B3B"/>
    <w:rsid w:val="00FD6EA2"/>
    <w:rsid w:val="00FE452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C32B54B66C2789318EC56DBA6C93B114E66048D1F1D2756B538E26A2F4622ECA41AC4769F4Bd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10C1-A9AF-4788-A0A1-A9BB5D77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11</cp:revision>
  <cp:lastPrinted>2020-03-10T06:11:00Z</cp:lastPrinted>
  <dcterms:created xsi:type="dcterms:W3CDTF">2020-09-11T07:07:00Z</dcterms:created>
  <dcterms:modified xsi:type="dcterms:W3CDTF">2022-03-28T10:46:00Z</dcterms:modified>
</cp:coreProperties>
</file>