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43" w:rsidRDefault="00244943" w:rsidP="00836D0B">
      <w:pPr>
        <w:pStyle w:val="a3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-405765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0B" w:rsidRPr="00836D0B">
        <w:rPr>
          <w:sz w:val="28"/>
          <w:szCs w:val="28"/>
        </w:rPr>
        <w:t xml:space="preserve">                                         </w:t>
      </w:r>
    </w:p>
    <w:p w:rsidR="00244943" w:rsidRPr="009B6FA4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B6FA4">
        <w:rPr>
          <w:rStyle w:val="a5"/>
          <w:sz w:val="28"/>
          <w:szCs w:val="28"/>
        </w:rPr>
        <w:t xml:space="preserve">АДМИНИСТРАЦИЯ </w:t>
      </w:r>
    </w:p>
    <w:p w:rsidR="00244943" w:rsidRPr="009B6FA4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B6FA4">
        <w:rPr>
          <w:rStyle w:val="a5"/>
          <w:sz w:val="28"/>
          <w:szCs w:val="28"/>
        </w:rPr>
        <w:t xml:space="preserve">ИВАНОВСКОГО СЕЛЬСОВЕТА </w:t>
      </w:r>
    </w:p>
    <w:p w:rsidR="00244943" w:rsidRPr="009B6FA4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sz w:val="28"/>
          <w:szCs w:val="28"/>
        </w:rPr>
      </w:pPr>
      <w:r w:rsidRPr="009B6FA4">
        <w:rPr>
          <w:rStyle w:val="a5"/>
          <w:sz w:val="28"/>
          <w:szCs w:val="28"/>
        </w:rPr>
        <w:t xml:space="preserve"> СОЛНЦЕВСКОГО РАЙОНА КУРСКОЙ ОБЛАСТИ</w:t>
      </w:r>
    </w:p>
    <w:p w:rsidR="00244943" w:rsidRPr="009B6FA4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44943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B6FA4">
        <w:rPr>
          <w:rStyle w:val="a5"/>
          <w:sz w:val="28"/>
          <w:szCs w:val="28"/>
        </w:rPr>
        <w:t>ПОСТАНОВЛЕНИЕ</w:t>
      </w:r>
    </w:p>
    <w:p w:rsidR="00244943" w:rsidRPr="009B6FA4" w:rsidRDefault="00244943" w:rsidP="00244943">
      <w:pPr>
        <w:pStyle w:val="a4"/>
        <w:tabs>
          <w:tab w:val="left" w:pos="11265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44943" w:rsidRPr="00784BE2" w:rsidRDefault="00244943" w:rsidP="00244943">
      <w:pPr>
        <w:pStyle w:val="a4"/>
        <w:tabs>
          <w:tab w:val="left" w:pos="1126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 22 ноября 2024года                                                   №319</w:t>
      </w:r>
    </w:p>
    <w:p w:rsidR="00244943" w:rsidRDefault="00244943" w:rsidP="00244943">
      <w:pPr>
        <w:pStyle w:val="a4"/>
        <w:tabs>
          <w:tab w:val="left" w:pos="11265"/>
        </w:tabs>
        <w:spacing w:before="0" w:after="75"/>
      </w:pPr>
    </w:p>
    <w:p w:rsidR="00836D0B" w:rsidRPr="00244943" w:rsidRDefault="00836D0B" w:rsidP="00244943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44943">
        <w:rPr>
          <w:b/>
          <w:sz w:val="28"/>
          <w:szCs w:val="28"/>
        </w:rPr>
        <w:t xml:space="preserve">Об утверждении </w:t>
      </w:r>
      <w:r w:rsidR="004D3DD9" w:rsidRPr="00244943">
        <w:rPr>
          <w:b/>
          <w:sz w:val="28"/>
          <w:szCs w:val="28"/>
        </w:rPr>
        <w:t xml:space="preserve">основных </w:t>
      </w:r>
      <w:r w:rsidRPr="00244943">
        <w:rPr>
          <w:b/>
          <w:sz w:val="28"/>
          <w:szCs w:val="28"/>
        </w:rPr>
        <w:t xml:space="preserve">направлений </w:t>
      </w:r>
      <w:r w:rsidR="002F3FF6" w:rsidRPr="00244943">
        <w:rPr>
          <w:b/>
          <w:sz w:val="28"/>
          <w:szCs w:val="28"/>
        </w:rPr>
        <w:t>долговой</w:t>
      </w:r>
      <w:r w:rsidRPr="00244943">
        <w:rPr>
          <w:b/>
          <w:sz w:val="28"/>
          <w:szCs w:val="28"/>
        </w:rPr>
        <w:t xml:space="preserve"> политики</w:t>
      </w:r>
    </w:p>
    <w:p w:rsidR="00836D0B" w:rsidRPr="00244943" w:rsidRDefault="00836D0B" w:rsidP="00244943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44943">
        <w:rPr>
          <w:b/>
          <w:sz w:val="28"/>
          <w:szCs w:val="28"/>
        </w:rPr>
        <w:t xml:space="preserve">муниципального </w:t>
      </w:r>
      <w:r w:rsidR="002F3FF6" w:rsidRPr="00244943">
        <w:rPr>
          <w:b/>
          <w:sz w:val="28"/>
          <w:szCs w:val="28"/>
        </w:rPr>
        <w:t>образования</w:t>
      </w:r>
      <w:r w:rsidR="00244943" w:rsidRPr="00244943">
        <w:rPr>
          <w:b/>
          <w:sz w:val="28"/>
          <w:szCs w:val="28"/>
        </w:rPr>
        <w:t xml:space="preserve">  «Ивановское сельское поселение» Солнцевского муниципального района </w:t>
      </w:r>
      <w:r w:rsidRPr="00244943">
        <w:rPr>
          <w:b/>
          <w:sz w:val="28"/>
          <w:szCs w:val="28"/>
        </w:rPr>
        <w:t>Курской области  на 2025 год и на плановый период 2026 и 2027 годов</w:t>
      </w:r>
    </w:p>
    <w:p w:rsidR="004D3DD9" w:rsidRPr="004D3DD9" w:rsidRDefault="004D3DD9" w:rsidP="004D3DD9">
      <w:pPr>
        <w:pStyle w:val="Default"/>
        <w:rPr>
          <w:rFonts w:ascii="Calibri" w:hAnsi="Calibri" w:cs="Calibri"/>
        </w:rPr>
      </w:pPr>
    </w:p>
    <w:p w:rsidR="00836D0B" w:rsidRPr="00BF1F40" w:rsidRDefault="004D3DD9" w:rsidP="00BF1F40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4D3DD9">
        <w:rPr>
          <w:rFonts w:ascii="Calibri" w:eastAsiaTheme="minorEastAsia" w:hAnsi="Calibri" w:cs="Calibri"/>
          <w:color w:val="000000"/>
        </w:rPr>
        <w:t xml:space="preserve"> </w:t>
      </w:r>
      <w:r>
        <w:rPr>
          <w:rFonts w:ascii="Calibri" w:eastAsiaTheme="minorEastAsia" w:hAnsi="Calibri" w:cs="Calibri"/>
          <w:color w:val="000000"/>
        </w:rPr>
        <w:tab/>
      </w:r>
      <w:r w:rsidRPr="00BF1F40">
        <w:rPr>
          <w:rFonts w:eastAsiaTheme="minorEastAsia"/>
          <w:color w:val="000000"/>
          <w:sz w:val="28"/>
          <w:szCs w:val="28"/>
        </w:rPr>
        <w:t>В соответствии с пунктом 13 статьи 107.1 Бюджетно</w:t>
      </w:r>
      <w:r w:rsidR="00BD27F9" w:rsidRPr="00BF1F40">
        <w:rPr>
          <w:rFonts w:eastAsiaTheme="minorEastAsia"/>
          <w:color w:val="000000"/>
          <w:sz w:val="28"/>
          <w:szCs w:val="28"/>
        </w:rPr>
        <w:t>го кодекса Российской Федерации</w:t>
      </w:r>
      <w:r w:rsidRPr="00BF1F40">
        <w:rPr>
          <w:rFonts w:eastAsiaTheme="minorEastAsia"/>
          <w:color w:val="000000"/>
          <w:sz w:val="28"/>
          <w:szCs w:val="28"/>
        </w:rPr>
        <w:t xml:space="preserve"> Администрация </w:t>
      </w:r>
      <w:r w:rsidR="00244943" w:rsidRPr="00BF1F40">
        <w:rPr>
          <w:rFonts w:eastAsiaTheme="minorEastAsia"/>
          <w:color w:val="000000"/>
          <w:sz w:val="28"/>
          <w:szCs w:val="28"/>
        </w:rPr>
        <w:t xml:space="preserve">Ивановского сельсовета </w:t>
      </w:r>
      <w:r w:rsidR="00836D0B" w:rsidRPr="00BF1F40">
        <w:rPr>
          <w:sz w:val="28"/>
          <w:szCs w:val="28"/>
        </w:rPr>
        <w:t>Солнцевского района</w:t>
      </w:r>
      <w:r w:rsidR="0009076C" w:rsidRPr="00BF1F40">
        <w:rPr>
          <w:sz w:val="28"/>
          <w:szCs w:val="28"/>
        </w:rPr>
        <w:t xml:space="preserve"> </w:t>
      </w:r>
      <w:r w:rsidR="00836D0B" w:rsidRPr="00BF1F40">
        <w:rPr>
          <w:sz w:val="28"/>
          <w:szCs w:val="28"/>
        </w:rPr>
        <w:t xml:space="preserve"> Курской области ПОСТАНОВЛЯЕТ:</w:t>
      </w:r>
    </w:p>
    <w:p w:rsidR="00836D0B" w:rsidRPr="00BF1F40" w:rsidRDefault="00836D0B" w:rsidP="00BF1F40">
      <w:pPr>
        <w:pStyle w:val="a3"/>
        <w:spacing w:line="276" w:lineRule="auto"/>
        <w:jc w:val="both"/>
        <w:rPr>
          <w:b/>
          <w:sz w:val="28"/>
          <w:szCs w:val="28"/>
        </w:rPr>
      </w:pPr>
      <w:r w:rsidRPr="00BF1F40">
        <w:rPr>
          <w:sz w:val="28"/>
          <w:szCs w:val="28"/>
        </w:rPr>
        <w:tab/>
        <w:t xml:space="preserve">1. Утвердить прилагаемые основные направления </w:t>
      </w:r>
      <w:r w:rsidR="004D3DD9" w:rsidRPr="00BF1F40">
        <w:rPr>
          <w:sz w:val="28"/>
          <w:szCs w:val="28"/>
        </w:rPr>
        <w:t>долговой политики</w:t>
      </w:r>
      <w:r w:rsidR="002B44E8" w:rsidRPr="00BF1F40">
        <w:rPr>
          <w:sz w:val="28"/>
          <w:szCs w:val="28"/>
        </w:rPr>
        <w:t xml:space="preserve"> </w:t>
      </w:r>
      <w:r w:rsidR="004D3DD9" w:rsidRPr="00BF1F40">
        <w:rPr>
          <w:sz w:val="28"/>
          <w:szCs w:val="28"/>
        </w:rPr>
        <w:t xml:space="preserve">муниципального образования </w:t>
      </w:r>
      <w:r w:rsidR="00244943" w:rsidRPr="00BF1F40">
        <w:rPr>
          <w:sz w:val="28"/>
          <w:szCs w:val="28"/>
        </w:rPr>
        <w:t>«Ивановское сельское поселение»</w:t>
      </w:r>
      <w:r w:rsidR="0009076C" w:rsidRPr="00BF1F40">
        <w:rPr>
          <w:sz w:val="28"/>
          <w:szCs w:val="28"/>
        </w:rPr>
        <w:t xml:space="preserve"> </w:t>
      </w:r>
      <w:r w:rsidR="00244943" w:rsidRPr="00BF1F40">
        <w:rPr>
          <w:sz w:val="28"/>
          <w:szCs w:val="28"/>
        </w:rPr>
        <w:t xml:space="preserve">Солнцевского муниципального района Курской области  на 2025 год и на плановый период 2026 и 2027 годов </w:t>
      </w:r>
      <w:r w:rsidR="00331260" w:rsidRPr="00BF1F40">
        <w:rPr>
          <w:sz w:val="28"/>
          <w:szCs w:val="28"/>
        </w:rPr>
        <w:t xml:space="preserve">(далее </w:t>
      </w:r>
      <w:proofErr w:type="gramStart"/>
      <w:r w:rsidR="00331260" w:rsidRPr="00BF1F40">
        <w:rPr>
          <w:sz w:val="28"/>
          <w:szCs w:val="28"/>
        </w:rPr>
        <w:t>-д</w:t>
      </w:r>
      <w:proofErr w:type="gramEnd"/>
      <w:r w:rsidR="00331260" w:rsidRPr="00BF1F40">
        <w:rPr>
          <w:sz w:val="28"/>
          <w:szCs w:val="28"/>
        </w:rPr>
        <w:t>олговая политика)</w:t>
      </w:r>
      <w:r w:rsidRPr="00BF1F40">
        <w:rPr>
          <w:sz w:val="28"/>
          <w:szCs w:val="28"/>
        </w:rPr>
        <w:t>.</w:t>
      </w:r>
    </w:p>
    <w:p w:rsidR="00836D0B" w:rsidRPr="00BF1F40" w:rsidRDefault="00F26C70" w:rsidP="00BF1F40">
      <w:pPr>
        <w:jc w:val="both"/>
        <w:rPr>
          <w:rFonts w:ascii="Times New Roman" w:hAnsi="Times New Roman" w:cs="Times New Roman"/>
          <w:sz w:val="28"/>
          <w:szCs w:val="28"/>
        </w:rPr>
      </w:pPr>
      <w:r w:rsidRPr="00BF1F40">
        <w:rPr>
          <w:rFonts w:ascii="Times New Roman" w:hAnsi="Times New Roman" w:cs="Times New Roman"/>
          <w:sz w:val="28"/>
          <w:szCs w:val="28"/>
        </w:rPr>
        <w:tab/>
      </w:r>
      <w:r w:rsidR="00836D0B" w:rsidRPr="00BF1F40">
        <w:rPr>
          <w:rFonts w:ascii="Times New Roman" w:hAnsi="Times New Roman" w:cs="Times New Roman"/>
          <w:sz w:val="28"/>
          <w:szCs w:val="28"/>
        </w:rPr>
        <w:t>2. </w:t>
      </w:r>
      <w:r w:rsidR="00BF1F40" w:rsidRPr="00BF1F40"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по осуществлению бюджетных полномочий поселений Солнцевского района Курской области Гековой Ирине Викторовне </w:t>
      </w:r>
      <w:r w:rsidR="00836D0B" w:rsidRPr="00BF1F40">
        <w:rPr>
          <w:rFonts w:ascii="Times New Roman" w:hAnsi="Times New Roman" w:cs="Times New Roman"/>
          <w:sz w:val="28"/>
          <w:szCs w:val="28"/>
        </w:rPr>
        <w:t xml:space="preserve">обеспечить формирование проекта бюджета </w:t>
      </w:r>
      <w:r w:rsidR="00911C6C" w:rsidRPr="00BF1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4943" w:rsidRPr="00BF1F40">
        <w:rPr>
          <w:rFonts w:ascii="Times New Roman" w:hAnsi="Times New Roman" w:cs="Times New Roman"/>
          <w:sz w:val="28"/>
          <w:szCs w:val="28"/>
        </w:rPr>
        <w:t>«Ивановское сельское поселение» Солнцевского муниципального района Курской области  на 2025 год и на плановый период 2026 и 2027 годов</w:t>
      </w:r>
      <w:r w:rsidR="00244943" w:rsidRPr="00BF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D0B" w:rsidRPr="00BF1F40">
        <w:rPr>
          <w:rFonts w:ascii="Times New Roman" w:hAnsi="Times New Roman" w:cs="Times New Roman"/>
          <w:sz w:val="28"/>
          <w:szCs w:val="28"/>
        </w:rPr>
        <w:t xml:space="preserve">с учетом </w:t>
      </w:r>
      <w:r w:rsidR="00911C6C" w:rsidRPr="00BF1F40">
        <w:rPr>
          <w:rFonts w:ascii="Times New Roman" w:hAnsi="Times New Roman" w:cs="Times New Roman"/>
          <w:sz w:val="28"/>
          <w:szCs w:val="28"/>
        </w:rPr>
        <w:t>о</w:t>
      </w:r>
      <w:r w:rsidR="00836D0B" w:rsidRPr="00BF1F40">
        <w:rPr>
          <w:rFonts w:ascii="Times New Roman" w:hAnsi="Times New Roman" w:cs="Times New Roman"/>
          <w:sz w:val="28"/>
          <w:szCs w:val="28"/>
        </w:rPr>
        <w:t xml:space="preserve">сновных направлений </w:t>
      </w:r>
      <w:r w:rsidR="00911C6C" w:rsidRPr="00BF1F40">
        <w:rPr>
          <w:rFonts w:ascii="Times New Roman" w:hAnsi="Times New Roman" w:cs="Times New Roman"/>
          <w:sz w:val="28"/>
          <w:szCs w:val="28"/>
        </w:rPr>
        <w:t>долговой политики</w:t>
      </w:r>
      <w:r w:rsidR="00836D0B" w:rsidRPr="00BF1F40">
        <w:rPr>
          <w:rFonts w:ascii="Times New Roman" w:hAnsi="Times New Roman" w:cs="Times New Roman"/>
          <w:sz w:val="28"/>
          <w:szCs w:val="28"/>
        </w:rPr>
        <w:t>.</w:t>
      </w:r>
    </w:p>
    <w:p w:rsidR="00836D0B" w:rsidRPr="00BF1F40" w:rsidRDefault="00F26C70" w:rsidP="00BF1F40">
      <w:pPr>
        <w:pStyle w:val="a3"/>
        <w:spacing w:line="276" w:lineRule="auto"/>
        <w:jc w:val="both"/>
        <w:rPr>
          <w:sz w:val="28"/>
          <w:szCs w:val="28"/>
        </w:rPr>
      </w:pPr>
      <w:r w:rsidRPr="00BF1F40">
        <w:rPr>
          <w:sz w:val="28"/>
          <w:szCs w:val="28"/>
        </w:rPr>
        <w:tab/>
      </w:r>
      <w:r w:rsidR="00244943" w:rsidRPr="00BF1F40">
        <w:rPr>
          <w:sz w:val="28"/>
          <w:szCs w:val="28"/>
        </w:rPr>
        <w:t>3</w:t>
      </w:r>
      <w:r w:rsidR="00836D0B" w:rsidRPr="00BF1F40">
        <w:rPr>
          <w:sz w:val="28"/>
          <w:szCs w:val="28"/>
        </w:rPr>
        <w:t>. Постановление вступает в силу со дня его подписания.</w:t>
      </w:r>
    </w:p>
    <w:p w:rsidR="00836D0B" w:rsidRPr="00BF1F40" w:rsidRDefault="00836D0B" w:rsidP="00BF1F40">
      <w:pPr>
        <w:pStyle w:val="a3"/>
        <w:spacing w:line="276" w:lineRule="auto"/>
        <w:jc w:val="both"/>
        <w:rPr>
          <w:sz w:val="28"/>
          <w:szCs w:val="28"/>
        </w:rPr>
      </w:pPr>
    </w:p>
    <w:p w:rsidR="00B62CEE" w:rsidRPr="00836D0B" w:rsidRDefault="00B36EE1" w:rsidP="0024494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44943">
        <w:rPr>
          <w:sz w:val="28"/>
          <w:szCs w:val="28"/>
        </w:rPr>
        <w:t>а Ивановского сельсовета</w:t>
      </w:r>
      <w:r w:rsidR="00836D0B" w:rsidRPr="00836D0B">
        <w:rPr>
          <w:sz w:val="28"/>
          <w:szCs w:val="28"/>
        </w:rPr>
        <w:t xml:space="preserve"> </w:t>
      </w:r>
      <w:r w:rsidR="00244943">
        <w:rPr>
          <w:sz w:val="28"/>
          <w:szCs w:val="28"/>
        </w:rPr>
        <w:t xml:space="preserve">                                    Т.П.Никифорова</w:t>
      </w:r>
    </w:p>
    <w:p w:rsidR="00B36EE1" w:rsidRPr="00836D0B" w:rsidRDefault="00B36EE1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B36EE1" w:rsidRPr="00836D0B" w:rsidRDefault="00B36EE1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836D0B" w:rsidRPr="00836D0B" w:rsidRDefault="00836D0B" w:rsidP="00244943">
      <w:pPr>
        <w:pStyle w:val="a3"/>
        <w:spacing w:line="276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        </w:t>
      </w:r>
      <w:r w:rsidRPr="00836D0B">
        <w:rPr>
          <w:caps/>
          <w:sz w:val="28"/>
          <w:szCs w:val="28"/>
        </w:rPr>
        <w:t>Утверждены</w:t>
      </w:r>
    </w:p>
    <w:p w:rsidR="00836D0B" w:rsidRDefault="00836D0B" w:rsidP="00244943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6D0B">
        <w:rPr>
          <w:sz w:val="28"/>
          <w:szCs w:val="28"/>
        </w:rPr>
        <w:t>постановлением Администрации</w:t>
      </w:r>
    </w:p>
    <w:p w:rsidR="00244943" w:rsidRDefault="00244943" w:rsidP="00244943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244943" w:rsidRDefault="00836D0B" w:rsidP="00244943">
      <w:pPr>
        <w:pStyle w:val="a3"/>
        <w:spacing w:line="276" w:lineRule="auto"/>
        <w:jc w:val="right"/>
        <w:rPr>
          <w:sz w:val="28"/>
          <w:szCs w:val="28"/>
        </w:rPr>
      </w:pPr>
      <w:r w:rsidRPr="00836D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6D0B">
        <w:rPr>
          <w:sz w:val="28"/>
          <w:szCs w:val="28"/>
        </w:rPr>
        <w:t xml:space="preserve">Солнцевского района </w:t>
      </w:r>
    </w:p>
    <w:p w:rsidR="00836D0B" w:rsidRPr="00836D0B" w:rsidRDefault="00836D0B" w:rsidP="00244943">
      <w:pPr>
        <w:pStyle w:val="a3"/>
        <w:spacing w:line="276" w:lineRule="auto"/>
        <w:jc w:val="right"/>
        <w:rPr>
          <w:sz w:val="28"/>
          <w:szCs w:val="28"/>
        </w:rPr>
      </w:pPr>
      <w:r w:rsidRPr="00836D0B">
        <w:rPr>
          <w:sz w:val="28"/>
          <w:szCs w:val="28"/>
        </w:rPr>
        <w:t>Курской области</w:t>
      </w:r>
    </w:p>
    <w:p w:rsidR="00836D0B" w:rsidRPr="00836D0B" w:rsidRDefault="00836D0B" w:rsidP="00244943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6D0B">
        <w:rPr>
          <w:sz w:val="28"/>
          <w:szCs w:val="28"/>
        </w:rPr>
        <w:t xml:space="preserve">от </w:t>
      </w:r>
      <w:r w:rsidR="00996F26">
        <w:rPr>
          <w:sz w:val="28"/>
          <w:szCs w:val="28"/>
        </w:rPr>
        <w:t xml:space="preserve"> </w:t>
      </w:r>
      <w:r w:rsidR="00244943">
        <w:rPr>
          <w:sz w:val="28"/>
          <w:szCs w:val="28"/>
        </w:rPr>
        <w:t>22.11.2024 года № 319</w:t>
      </w:r>
    </w:p>
    <w:p w:rsidR="00836D0B" w:rsidRPr="00836D0B" w:rsidRDefault="00836D0B" w:rsidP="00244943">
      <w:pPr>
        <w:pStyle w:val="a3"/>
        <w:spacing w:line="276" w:lineRule="auto"/>
        <w:jc w:val="right"/>
        <w:rPr>
          <w:sz w:val="28"/>
          <w:szCs w:val="28"/>
        </w:rPr>
      </w:pPr>
    </w:p>
    <w:p w:rsidR="00836D0B" w:rsidRPr="00836D0B" w:rsidRDefault="00836D0B" w:rsidP="00836D0B">
      <w:pPr>
        <w:pStyle w:val="a3"/>
        <w:spacing w:line="276" w:lineRule="auto"/>
        <w:jc w:val="both"/>
        <w:rPr>
          <w:sz w:val="28"/>
          <w:szCs w:val="28"/>
        </w:rPr>
      </w:pPr>
    </w:p>
    <w:p w:rsidR="002F3FF6" w:rsidRPr="002F3FF6" w:rsidRDefault="002F3FF6" w:rsidP="002F3FF6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F3FF6">
        <w:rPr>
          <w:b/>
          <w:sz w:val="28"/>
          <w:szCs w:val="28"/>
        </w:rPr>
        <w:t xml:space="preserve">Об утверждении </w:t>
      </w:r>
      <w:r w:rsidR="009264FA">
        <w:rPr>
          <w:b/>
          <w:sz w:val="28"/>
          <w:szCs w:val="28"/>
        </w:rPr>
        <w:t xml:space="preserve">основных </w:t>
      </w:r>
      <w:r w:rsidRPr="002F3FF6">
        <w:rPr>
          <w:b/>
          <w:sz w:val="28"/>
          <w:szCs w:val="28"/>
        </w:rPr>
        <w:t>направлений долговой политики</w:t>
      </w:r>
    </w:p>
    <w:p w:rsidR="00244943" w:rsidRPr="00244943" w:rsidRDefault="002F3FF6" w:rsidP="00244943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F3FF6">
        <w:rPr>
          <w:b/>
          <w:sz w:val="28"/>
          <w:szCs w:val="28"/>
        </w:rPr>
        <w:t xml:space="preserve">муниципального образования </w:t>
      </w:r>
      <w:r w:rsidR="00244943" w:rsidRPr="00244943">
        <w:rPr>
          <w:b/>
          <w:sz w:val="28"/>
          <w:szCs w:val="28"/>
        </w:rPr>
        <w:t>«Ивановское сельское поселение» Солнцевского муниципального района Курской области  на 2025 год и на плановый период 2026 и 2027 годов</w:t>
      </w:r>
    </w:p>
    <w:p w:rsidR="00836D0B" w:rsidRPr="00836D0B" w:rsidRDefault="00836D0B" w:rsidP="00244943">
      <w:pPr>
        <w:pStyle w:val="a3"/>
        <w:spacing w:line="276" w:lineRule="auto"/>
        <w:jc w:val="center"/>
        <w:rPr>
          <w:sz w:val="28"/>
          <w:szCs w:val="28"/>
        </w:rPr>
      </w:pPr>
    </w:p>
    <w:p w:rsidR="00D42A37" w:rsidRPr="003737EF" w:rsidRDefault="003737EF" w:rsidP="003737EF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3737EF">
        <w:rPr>
          <w:b/>
          <w:bCs/>
          <w:sz w:val="28"/>
          <w:szCs w:val="28"/>
        </w:rPr>
        <w:t>Общие положения</w:t>
      </w:r>
    </w:p>
    <w:p w:rsidR="003737EF" w:rsidRPr="00EC2929" w:rsidRDefault="003737EF" w:rsidP="003737EF">
      <w:pPr>
        <w:pStyle w:val="a3"/>
        <w:spacing w:line="276" w:lineRule="auto"/>
        <w:jc w:val="center"/>
        <w:rPr>
          <w:noProof/>
          <w:sz w:val="28"/>
          <w:szCs w:val="28"/>
        </w:rPr>
      </w:pPr>
    </w:p>
    <w:p w:rsidR="003737EF" w:rsidRPr="003737EF" w:rsidRDefault="003737EF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996F26">
        <w:rPr>
          <w:color w:val="000000"/>
          <w:sz w:val="28"/>
          <w:szCs w:val="28"/>
        </w:rPr>
        <w:t xml:space="preserve">Под долговой политикой </w:t>
      </w:r>
      <w:r w:rsidRPr="00996F26">
        <w:rPr>
          <w:sz w:val="28"/>
          <w:szCs w:val="28"/>
        </w:rPr>
        <w:t xml:space="preserve">муниципального образования </w:t>
      </w:r>
      <w:r w:rsidR="00244943" w:rsidRPr="00996F26">
        <w:rPr>
          <w:sz w:val="28"/>
          <w:szCs w:val="28"/>
        </w:rPr>
        <w:t>«Ивановское сельское поселение» Солнцевского муниципального района Курской области  на 2025 год и на плановый период 2026 и 2027 годов</w:t>
      </w:r>
      <w:r w:rsidRPr="003737EF">
        <w:rPr>
          <w:sz w:val="28"/>
          <w:szCs w:val="28"/>
        </w:rPr>
        <w:t xml:space="preserve"> </w:t>
      </w:r>
      <w:r w:rsidRPr="003737EF">
        <w:rPr>
          <w:color w:val="000000"/>
          <w:sz w:val="28"/>
          <w:szCs w:val="28"/>
        </w:rPr>
        <w:t>(далее – долговая политика, муниципальн</w:t>
      </w:r>
      <w:r>
        <w:rPr>
          <w:color w:val="000000"/>
          <w:sz w:val="28"/>
          <w:szCs w:val="28"/>
        </w:rPr>
        <w:t>ое</w:t>
      </w:r>
      <w:r w:rsidRPr="003737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образование</w:t>
      </w:r>
      <w:r w:rsidRPr="003737EF">
        <w:rPr>
          <w:color w:val="000000"/>
          <w:sz w:val="28"/>
          <w:szCs w:val="28"/>
        </w:rPr>
        <w:t xml:space="preserve">) понимается стратегия управления муниципальным долгом муниципального </w:t>
      </w:r>
      <w:r>
        <w:rPr>
          <w:color w:val="000000"/>
          <w:sz w:val="28"/>
          <w:szCs w:val="28"/>
        </w:rPr>
        <w:t>образования</w:t>
      </w:r>
      <w:r w:rsidRPr="003737EF">
        <w:rPr>
          <w:color w:val="000000"/>
          <w:sz w:val="28"/>
          <w:szCs w:val="28"/>
        </w:rPr>
        <w:t xml:space="preserve">, направленная на обеспечение сбалансированности бюджета, эффективное поддержание объёма муниципального долга муниципального </w:t>
      </w:r>
      <w:r>
        <w:rPr>
          <w:color w:val="000000"/>
          <w:sz w:val="28"/>
          <w:szCs w:val="28"/>
        </w:rPr>
        <w:t>образования</w:t>
      </w:r>
      <w:r w:rsidRPr="003737EF">
        <w:rPr>
          <w:color w:val="000000"/>
          <w:sz w:val="28"/>
          <w:szCs w:val="28"/>
        </w:rPr>
        <w:t xml:space="preserve"> на экономически безопасном уровне, повышение прозрачности управления муниципальным долгом и обеспечение доступности</w:t>
      </w:r>
      <w:proofErr w:type="gramEnd"/>
      <w:r w:rsidRPr="003737EF">
        <w:rPr>
          <w:color w:val="000000"/>
          <w:sz w:val="28"/>
          <w:szCs w:val="28"/>
        </w:rPr>
        <w:t xml:space="preserve"> информации о муниципальном долге. </w:t>
      </w:r>
    </w:p>
    <w:p w:rsidR="00504EFA" w:rsidRPr="00996F26" w:rsidRDefault="003737EF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996F26">
        <w:rPr>
          <w:color w:val="000000"/>
          <w:sz w:val="28"/>
          <w:szCs w:val="28"/>
        </w:rPr>
        <w:t xml:space="preserve">Долговая политика бюджета </w:t>
      </w:r>
      <w:r w:rsidRPr="00996F26">
        <w:rPr>
          <w:sz w:val="28"/>
          <w:szCs w:val="28"/>
        </w:rPr>
        <w:t xml:space="preserve">муниципального образования </w:t>
      </w:r>
      <w:r w:rsidR="00244943" w:rsidRPr="00996F26">
        <w:rPr>
          <w:sz w:val="28"/>
          <w:szCs w:val="28"/>
        </w:rPr>
        <w:t>«Ивановское сельское поселение» Солнцевского муниципального района Курской области  на 2025 год и на плановый период 2026 и 2027 годов</w:t>
      </w:r>
      <w:r w:rsidR="00996F26">
        <w:rPr>
          <w:sz w:val="28"/>
          <w:szCs w:val="28"/>
        </w:rPr>
        <w:t xml:space="preserve"> </w:t>
      </w:r>
      <w:r w:rsidRPr="003737EF">
        <w:rPr>
          <w:color w:val="000000"/>
          <w:sz w:val="28"/>
          <w:szCs w:val="28"/>
        </w:rPr>
        <w:t xml:space="preserve">подготовлена на основе федерального и регионального законодательства, а также нормативных правовых актов муниципального </w:t>
      </w:r>
      <w:r>
        <w:rPr>
          <w:color w:val="000000"/>
          <w:sz w:val="28"/>
          <w:szCs w:val="28"/>
        </w:rPr>
        <w:t>образования</w:t>
      </w:r>
      <w:r w:rsidRPr="003737EF">
        <w:rPr>
          <w:color w:val="000000"/>
          <w:sz w:val="28"/>
          <w:szCs w:val="28"/>
        </w:rPr>
        <w:t xml:space="preserve"> в рамках составления проекта бюджета муниципального </w:t>
      </w:r>
      <w:r>
        <w:rPr>
          <w:color w:val="000000"/>
          <w:sz w:val="28"/>
          <w:szCs w:val="28"/>
        </w:rPr>
        <w:t>образования</w:t>
      </w:r>
      <w:r w:rsidRPr="003737EF">
        <w:rPr>
          <w:color w:val="000000"/>
          <w:sz w:val="28"/>
          <w:szCs w:val="28"/>
        </w:rPr>
        <w:t xml:space="preserve"> (далее – местный бюджет). Долговая политика определяет цели, основные задачи, риски и направления деятельности по управлению муниципальным долгом муниципального </w:t>
      </w:r>
      <w:r>
        <w:rPr>
          <w:color w:val="000000"/>
          <w:sz w:val="28"/>
          <w:szCs w:val="28"/>
        </w:rPr>
        <w:t>образования</w:t>
      </w:r>
      <w:r w:rsidRPr="003737EF">
        <w:rPr>
          <w:color w:val="000000"/>
          <w:sz w:val="28"/>
          <w:szCs w:val="28"/>
        </w:rPr>
        <w:t>.</w:t>
      </w:r>
    </w:p>
    <w:p w:rsidR="00DF34A7" w:rsidRPr="00DF34A7" w:rsidRDefault="00DF34A7" w:rsidP="0099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3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реализации долговой политики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DF34A7" w:rsidRDefault="00DF34A7" w:rsidP="00996F26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2023 год и за 9 месяцев 2024 года</w:t>
      </w:r>
    </w:p>
    <w:p w:rsidR="00BD03D6" w:rsidRPr="00BD03D6" w:rsidRDefault="00BD03D6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3D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исполнения местного бюджета за 2023 год и за 9 месяцев 2024 года муниципальный долг отсутствует, муниципальные заимствования не осуществлялись, муниципальные гарантии не предоставлялись. </w:t>
      </w:r>
    </w:p>
    <w:p w:rsidR="00BD03D6" w:rsidRPr="00BD03D6" w:rsidRDefault="00BD03D6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3D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по уровню дефицита, предельного объёма муниципального долга, установленные Бюджетным кодексом Российской Федерации, соблюдены. Приоритеты долговой политики, сложившиеся в 2023 году и за 9 месяцев 2024 года будут сохранены. </w:t>
      </w:r>
    </w:p>
    <w:p w:rsidR="00BD03D6" w:rsidRDefault="00BD03D6" w:rsidP="00996F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3D6">
        <w:rPr>
          <w:rFonts w:ascii="Times New Roman" w:hAnsi="Times New Roman" w:cs="Times New Roman"/>
          <w:sz w:val="28"/>
          <w:szCs w:val="28"/>
        </w:rPr>
        <w:t xml:space="preserve">По результатам оценки долговой устойчивости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D03D6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 Курской области</w:t>
      </w:r>
      <w:r w:rsidRPr="00BD03D6">
        <w:rPr>
          <w:rFonts w:ascii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D03D6">
        <w:rPr>
          <w:rFonts w:ascii="Times New Roman" w:hAnsi="Times New Roman" w:cs="Times New Roman"/>
          <w:sz w:val="28"/>
          <w:szCs w:val="28"/>
        </w:rPr>
        <w:t xml:space="preserve"> отнесен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D03D6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F07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2024 году</w:t>
      </w:r>
      <w:r w:rsidRPr="00BD03D6">
        <w:rPr>
          <w:rFonts w:ascii="Times New Roman" w:hAnsi="Times New Roman" w:cs="Times New Roman"/>
          <w:sz w:val="28"/>
          <w:szCs w:val="28"/>
        </w:rPr>
        <w:t xml:space="preserve"> к группе заёмщиков с высоким уровнем долговой устойчивости.</w:t>
      </w:r>
    </w:p>
    <w:p w:rsidR="00C50125" w:rsidRPr="00C50125" w:rsidRDefault="00C50125" w:rsidP="0099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факторы, определяющие характер и направления</w:t>
      </w:r>
    </w:p>
    <w:p w:rsidR="00C50125" w:rsidRDefault="00C50125" w:rsidP="00996F26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долговой политики</w:t>
      </w:r>
    </w:p>
    <w:p w:rsidR="00E017DD" w:rsidRPr="00E017DD" w:rsidRDefault="00E017DD" w:rsidP="00996F26">
      <w:pPr>
        <w:pStyle w:val="a3"/>
        <w:spacing w:line="276" w:lineRule="auto"/>
        <w:jc w:val="both"/>
        <w:rPr>
          <w:sz w:val="28"/>
          <w:szCs w:val="28"/>
        </w:rPr>
      </w:pPr>
      <w:r>
        <w:tab/>
      </w:r>
      <w:r w:rsidRPr="00E017DD">
        <w:rPr>
          <w:sz w:val="28"/>
          <w:szCs w:val="28"/>
        </w:rPr>
        <w:t xml:space="preserve">Основными факторами, определяющими характер и направления долговой политики муниципального образования в 2025 году и в плановом периоде 2026 и 2027 годов, будут являться: </w:t>
      </w:r>
    </w:p>
    <w:p w:rsidR="00E017DD" w:rsidRPr="00E017DD" w:rsidRDefault="00E017DD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017DD">
        <w:rPr>
          <w:sz w:val="28"/>
          <w:szCs w:val="28"/>
        </w:rPr>
        <w:tab/>
        <w:t xml:space="preserve">1) риски снижения налоговых и неналоговых доходов местного бюджета и роста расходов местного бюджета вследствие влияния ухудшения экономической ситуации и необходимости реализации мер по стабилизации экономики, а также изменения федерального законодательства; </w:t>
      </w:r>
    </w:p>
    <w:p w:rsidR="00E017DD" w:rsidRPr="00E017DD" w:rsidRDefault="00E017DD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017DD">
        <w:rPr>
          <w:sz w:val="28"/>
          <w:szCs w:val="28"/>
        </w:rPr>
        <w:tab/>
        <w:t xml:space="preserve">2) общая ситуация в российской экономике и состояние внутреннего рынка заимствований; </w:t>
      </w:r>
    </w:p>
    <w:p w:rsidR="00E017DD" w:rsidRPr="00E017DD" w:rsidRDefault="00E017DD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7DD">
        <w:rPr>
          <w:sz w:val="28"/>
          <w:szCs w:val="28"/>
        </w:rPr>
        <w:t>3) необходимость финансового обеспечения принятых расходных обязательств муниципального образования;</w:t>
      </w:r>
    </w:p>
    <w:p w:rsidR="00E017DD" w:rsidRDefault="00E017DD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17DD">
        <w:rPr>
          <w:sz w:val="28"/>
          <w:szCs w:val="28"/>
        </w:rPr>
        <w:t xml:space="preserve">4) неисполнением налогоплательщиками налоговых обязательств или исполнением налоговых </w:t>
      </w:r>
      <w:r>
        <w:rPr>
          <w:sz w:val="28"/>
          <w:szCs w:val="28"/>
        </w:rPr>
        <w:t>обязательств не в полном объеме.</w:t>
      </w:r>
    </w:p>
    <w:p w:rsidR="00755610" w:rsidRDefault="00755610" w:rsidP="00996F26">
      <w:pPr>
        <w:pStyle w:val="a3"/>
        <w:spacing w:line="276" w:lineRule="auto"/>
        <w:jc w:val="both"/>
        <w:rPr>
          <w:sz w:val="28"/>
          <w:szCs w:val="28"/>
        </w:rPr>
      </w:pPr>
    </w:p>
    <w:p w:rsidR="00755610" w:rsidRDefault="00755610" w:rsidP="00996F26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755610">
        <w:rPr>
          <w:b/>
          <w:bCs/>
          <w:sz w:val="28"/>
          <w:szCs w:val="28"/>
        </w:rPr>
        <w:t>Цели и задачи долговой политики</w:t>
      </w:r>
    </w:p>
    <w:p w:rsidR="00755610" w:rsidRPr="00755610" w:rsidRDefault="00755610" w:rsidP="00996F26">
      <w:pPr>
        <w:pStyle w:val="a3"/>
        <w:spacing w:line="276" w:lineRule="auto"/>
        <w:jc w:val="both"/>
        <w:rPr>
          <w:sz w:val="28"/>
          <w:szCs w:val="28"/>
        </w:rPr>
      </w:pPr>
    </w:p>
    <w:p w:rsidR="00755610" w:rsidRPr="00755610" w:rsidRDefault="00563A8E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Целями долговой политики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 в планируемом периоде являются: </w:t>
      </w:r>
    </w:p>
    <w:p w:rsidR="00755610" w:rsidRPr="00755610" w:rsidRDefault="00563A8E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1) эффективное управление муниципальным долгом, ориентированное на обеспечение сбалансированности местного бюджета при сохранении высокой степени долговой финансовой устойчивости; </w:t>
      </w:r>
    </w:p>
    <w:p w:rsidR="00755610" w:rsidRPr="00755610" w:rsidRDefault="00563A8E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2) проведение взвешенной политики в области муниципальных заимствований посредством обеспечения взаимосвязи принятия решений о заимствованиях с потребностями местного бюджета в привлечении заёмных средств; </w:t>
      </w:r>
    </w:p>
    <w:p w:rsidR="00755610" w:rsidRPr="00755610" w:rsidRDefault="00563A8E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3) сохранение объёма муниципального долга на экономически безопасном уровне (при его наличии). </w:t>
      </w:r>
    </w:p>
    <w:p w:rsidR="00755610" w:rsidRPr="00755610" w:rsidRDefault="00563A8E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долговой политики на 2025 год и на плановый период 2026 и 2027 годов являются: </w:t>
      </w:r>
    </w:p>
    <w:p w:rsidR="00755610" w:rsidRPr="00755610" w:rsidRDefault="00D473D4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1) поддержание долговой нагрузки местного бюджета на экономически безопасном уровне; </w:t>
      </w:r>
    </w:p>
    <w:p w:rsidR="00E017DD" w:rsidRPr="00755610" w:rsidRDefault="00D473D4" w:rsidP="00996F26">
      <w:pPr>
        <w:pStyle w:val="a3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755610" w:rsidRPr="00755610">
        <w:rPr>
          <w:rFonts w:eastAsiaTheme="minorEastAsia"/>
          <w:color w:val="000000"/>
          <w:sz w:val="28"/>
          <w:szCs w:val="28"/>
        </w:rPr>
        <w:t xml:space="preserve">2) обеспечение исполнения долговых обязательств муниципального </w:t>
      </w:r>
      <w:r>
        <w:rPr>
          <w:rFonts w:eastAsiaTheme="minorEastAsia"/>
          <w:color w:val="000000"/>
          <w:sz w:val="28"/>
          <w:szCs w:val="28"/>
        </w:rPr>
        <w:t>образования</w:t>
      </w:r>
      <w:r w:rsidR="00755610" w:rsidRPr="00755610">
        <w:rPr>
          <w:rFonts w:eastAsiaTheme="minorEastAsia"/>
          <w:color w:val="000000"/>
          <w:sz w:val="28"/>
          <w:szCs w:val="28"/>
        </w:rPr>
        <w:t xml:space="preserve"> в полном объёме и в установленные сроки (при его наличии);</w:t>
      </w:r>
    </w:p>
    <w:p w:rsidR="00755610" w:rsidRPr="00755610" w:rsidRDefault="00D473D4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3) совершенствование структуры муниципального долга путем использования различных форм заимствований, исходя из необходимости минимизации стоимости их обслуживания (при необходимости); </w:t>
      </w:r>
    </w:p>
    <w:p w:rsidR="00755610" w:rsidRPr="00755610" w:rsidRDefault="00D473D4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5610" w:rsidRPr="00755610">
        <w:rPr>
          <w:rFonts w:ascii="Times New Roman" w:hAnsi="Times New Roman" w:cs="Times New Roman"/>
          <w:color w:val="000000"/>
          <w:sz w:val="28"/>
          <w:szCs w:val="28"/>
        </w:rPr>
        <w:t xml:space="preserve">4) соблюдение требований бюджетного законодательства Российской Федерации по предельному объёму муниципального долга и расходам на его обслуживание (при наличии муниципального долга); </w:t>
      </w:r>
    </w:p>
    <w:p w:rsidR="00755610" w:rsidRDefault="00D473D4" w:rsidP="00996F26">
      <w:pPr>
        <w:pStyle w:val="a3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755610" w:rsidRPr="00755610">
        <w:rPr>
          <w:rFonts w:eastAsiaTheme="minorEastAsia"/>
          <w:color w:val="000000"/>
          <w:sz w:val="28"/>
          <w:szCs w:val="28"/>
        </w:rPr>
        <w:t>5) повышение прозрачности управления муниципальным долгом и обеспечение доступности информации о муниципальном долге.</w:t>
      </w:r>
    </w:p>
    <w:p w:rsidR="006835A6" w:rsidRDefault="006835A6" w:rsidP="00996F26">
      <w:pPr>
        <w:pStyle w:val="a3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6835A6" w:rsidRDefault="006835A6" w:rsidP="00996F26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6835A6">
        <w:rPr>
          <w:b/>
          <w:bCs/>
          <w:sz w:val="28"/>
          <w:szCs w:val="28"/>
        </w:rPr>
        <w:t>Инструменты реализации долговой политики</w:t>
      </w:r>
    </w:p>
    <w:p w:rsidR="003A53DF" w:rsidRDefault="003A53DF" w:rsidP="00996F26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:rsidR="003A53DF" w:rsidRPr="003A53DF" w:rsidRDefault="003A53DF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3DF">
        <w:rPr>
          <w:rFonts w:ascii="Times New Roman" w:hAnsi="Times New Roman" w:cs="Times New Roman"/>
          <w:color w:val="000000"/>
          <w:sz w:val="28"/>
          <w:szCs w:val="28"/>
        </w:rPr>
        <w:t>Бюджетным кодексом Российской Федерации предусмотрены долговые инструменты, используемые при решении задач привлечения заёмных сре</w:t>
      </w:r>
      <w:proofErr w:type="gramStart"/>
      <w:r w:rsidRPr="003A53DF">
        <w:rPr>
          <w:rFonts w:ascii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екущих экономических условиях: </w:t>
      </w:r>
    </w:p>
    <w:p w:rsidR="003A53DF" w:rsidRPr="003A53DF" w:rsidRDefault="003A53DF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1) муниципальные ценные бумаги, выпускаемые в форме облигаций; </w:t>
      </w:r>
    </w:p>
    <w:p w:rsidR="003A53DF" w:rsidRPr="003A53DF" w:rsidRDefault="003A53DF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2) привлечение банковских кредитов; </w:t>
      </w:r>
    </w:p>
    <w:p w:rsidR="003A53DF" w:rsidRPr="003A53DF" w:rsidRDefault="003A53DF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3) бюджетный кредит на пополнение остатка средств на едином счете местного бюджета, позволяющий обеспечить краткосрочную ликвидность единого счета местного бюджета в пределах финансового года. </w:t>
      </w:r>
    </w:p>
    <w:p w:rsidR="003A53DF" w:rsidRPr="003A53DF" w:rsidRDefault="008D6952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Инструментами реализации долговой политики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и </w:t>
      </w:r>
      <w:proofErr w:type="gramStart"/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2026 и 2027 годов являются: </w:t>
      </w:r>
    </w:p>
    <w:p w:rsidR="003A53DF" w:rsidRPr="003A53DF" w:rsidRDefault="008D6952" w:rsidP="00996F26">
      <w:pPr>
        <w:autoSpaceDE w:val="0"/>
        <w:autoSpaceDN w:val="0"/>
        <w:adjustRightInd w:val="0"/>
        <w:spacing w:after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1) использование остатков средств местного бюджета на начало текущего финансового года; </w:t>
      </w:r>
    </w:p>
    <w:p w:rsidR="003A53DF" w:rsidRDefault="008D6952" w:rsidP="00996F26">
      <w:pPr>
        <w:autoSpaceDE w:val="0"/>
        <w:autoSpaceDN w:val="0"/>
        <w:adjustRightInd w:val="0"/>
        <w:spacing w:after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2) недопущение принятия новых расходных обязательств, не обеспеченных стабильными источниками доходов; </w:t>
      </w:r>
    </w:p>
    <w:p w:rsidR="0055277E" w:rsidRPr="003A53DF" w:rsidRDefault="0055277E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77E">
        <w:rPr>
          <w:sz w:val="28"/>
          <w:szCs w:val="28"/>
        </w:rPr>
        <w:t>3) направление дополнительных налоговых и неналоговых доходов, полученных при исполнении бюджета</w:t>
      </w:r>
      <w:proofErr w:type="gramStart"/>
      <w:r w:rsidRPr="0055277E">
        <w:rPr>
          <w:sz w:val="28"/>
          <w:szCs w:val="28"/>
        </w:rPr>
        <w:t xml:space="preserve"> ,</w:t>
      </w:r>
      <w:proofErr w:type="gramEnd"/>
      <w:r w:rsidRPr="0055277E">
        <w:rPr>
          <w:sz w:val="28"/>
          <w:szCs w:val="28"/>
        </w:rPr>
        <w:t xml:space="preserve"> на погашение долговых обязательств (при наличии муниципального долга);</w:t>
      </w:r>
    </w:p>
    <w:p w:rsidR="003A53DF" w:rsidRDefault="008D6952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27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</w:t>
      </w:r>
      <w:proofErr w:type="gramStart"/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соответствия размера дефицита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 w:rsidR="003A53DF" w:rsidRPr="003A53DF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ограничениям, установленным Бюджетным кодексом Российской Федерации. </w:t>
      </w:r>
    </w:p>
    <w:p w:rsidR="00147078" w:rsidRDefault="00147078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78" w:rsidRPr="00147078" w:rsidRDefault="00147078" w:rsidP="0099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рисков для местного бюджета, возникающих в процессе</w:t>
      </w:r>
    </w:p>
    <w:p w:rsidR="00147078" w:rsidRDefault="00147078" w:rsidP="00996F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078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муниципальным долгом</w:t>
      </w:r>
    </w:p>
    <w:p w:rsidR="00147078" w:rsidRDefault="00147078" w:rsidP="00996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78" w:rsidRPr="00E35170" w:rsidRDefault="00EC7367" w:rsidP="00996F26">
      <w:pPr>
        <w:pStyle w:val="a3"/>
        <w:spacing w:line="276" w:lineRule="auto"/>
        <w:jc w:val="both"/>
        <w:rPr>
          <w:sz w:val="28"/>
          <w:szCs w:val="28"/>
        </w:rPr>
      </w:pPr>
      <w:r>
        <w:tab/>
      </w:r>
      <w:r w:rsidR="00147078" w:rsidRPr="00E35170">
        <w:rPr>
          <w:sz w:val="28"/>
          <w:szCs w:val="28"/>
        </w:rPr>
        <w:t xml:space="preserve">Основными рисками при управлении муниципальным долгом являются: </w:t>
      </w:r>
    </w:p>
    <w:p w:rsidR="00147078" w:rsidRPr="00E35170" w:rsidRDefault="00EC7367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 xml:space="preserve">1) риск недостижения планируемых </w:t>
      </w:r>
      <w:r w:rsidR="00F17A8F" w:rsidRPr="00E35170">
        <w:rPr>
          <w:sz w:val="28"/>
          <w:szCs w:val="28"/>
        </w:rPr>
        <w:t xml:space="preserve">годовых </w:t>
      </w:r>
      <w:r w:rsidR="00147078" w:rsidRPr="00E35170">
        <w:rPr>
          <w:sz w:val="28"/>
          <w:szCs w:val="28"/>
        </w:rPr>
        <w:t xml:space="preserve">объёмов поступлений </w:t>
      </w:r>
      <w:r w:rsidR="00F17A8F" w:rsidRPr="00E35170">
        <w:rPr>
          <w:sz w:val="28"/>
          <w:szCs w:val="28"/>
        </w:rPr>
        <w:t xml:space="preserve">налоговых и неналоговых </w:t>
      </w:r>
      <w:r w:rsidR="00147078" w:rsidRPr="00E35170">
        <w:rPr>
          <w:sz w:val="28"/>
          <w:szCs w:val="28"/>
        </w:rPr>
        <w:t xml:space="preserve">доходов местного бюджета, что потребует поиска альтернативных источников для выполнения принятых расходных и долговых обязательств муниципального </w:t>
      </w:r>
      <w:r w:rsidRPr="00E35170">
        <w:rPr>
          <w:sz w:val="28"/>
          <w:szCs w:val="28"/>
        </w:rPr>
        <w:t>образования</w:t>
      </w:r>
      <w:r w:rsidR="00147078" w:rsidRPr="00E35170">
        <w:rPr>
          <w:sz w:val="28"/>
          <w:szCs w:val="28"/>
        </w:rPr>
        <w:t xml:space="preserve">; </w:t>
      </w:r>
    </w:p>
    <w:p w:rsidR="00352742" w:rsidRPr="00E35170" w:rsidRDefault="00EC7367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>2)</w:t>
      </w:r>
      <w:r w:rsidR="00BC4DF2" w:rsidRPr="00E35170">
        <w:rPr>
          <w:sz w:val="28"/>
          <w:szCs w:val="28"/>
        </w:rPr>
        <w:t xml:space="preserve"> процентный риск - вероятность </w:t>
      </w:r>
      <w:proofErr w:type="gramStart"/>
      <w:r w:rsidR="00BC4DF2" w:rsidRPr="00E35170">
        <w:rPr>
          <w:sz w:val="28"/>
          <w:szCs w:val="28"/>
        </w:rPr>
        <w:t xml:space="preserve">увеличения суммы расходов бюджета </w:t>
      </w:r>
      <w:r w:rsidR="00BC4DF2" w:rsidRPr="00E35170">
        <w:rPr>
          <w:rFonts w:eastAsia="Arial Unicode MS"/>
          <w:sz w:val="28"/>
          <w:szCs w:val="28"/>
        </w:rPr>
        <w:t>муниципального образования</w:t>
      </w:r>
      <w:proofErr w:type="gramEnd"/>
      <w:r w:rsidR="00BC4DF2" w:rsidRPr="00E35170">
        <w:rPr>
          <w:rFonts w:eastAsia="Arial Unicode MS"/>
          <w:sz w:val="28"/>
          <w:szCs w:val="28"/>
        </w:rPr>
        <w:t xml:space="preserve"> </w:t>
      </w:r>
      <w:r w:rsidR="00BC4DF2" w:rsidRPr="00E35170">
        <w:rPr>
          <w:sz w:val="28"/>
          <w:szCs w:val="28"/>
        </w:rPr>
        <w:t>на обслуживание муниципального долга вследствие привлечения кредитов для выполнения расходных обязательств (при наличии муниципального долга);</w:t>
      </w:r>
    </w:p>
    <w:p w:rsidR="00BC4DF2" w:rsidRPr="00E35170" w:rsidRDefault="00E35170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4DF2" w:rsidRPr="00E35170">
        <w:rPr>
          <w:sz w:val="28"/>
          <w:szCs w:val="28"/>
        </w:rPr>
        <w:t xml:space="preserve">3) риск ликвидности - отсутствие в бюджете </w:t>
      </w:r>
      <w:r w:rsidR="00BC4DF2" w:rsidRPr="00E35170">
        <w:rPr>
          <w:rFonts w:eastAsia="Arial Unicode MS"/>
          <w:sz w:val="28"/>
          <w:szCs w:val="28"/>
        </w:rPr>
        <w:t xml:space="preserve">муниципального образования </w:t>
      </w:r>
      <w:r w:rsidR="00BC4DF2" w:rsidRPr="00E35170">
        <w:rPr>
          <w:sz w:val="28"/>
          <w:szCs w:val="28"/>
        </w:rPr>
        <w:t>сре</w:t>
      </w:r>
      <w:proofErr w:type="gramStart"/>
      <w:r w:rsidR="00BC4DF2" w:rsidRPr="00E35170">
        <w:rPr>
          <w:sz w:val="28"/>
          <w:szCs w:val="28"/>
        </w:rPr>
        <w:t>дств дл</w:t>
      </w:r>
      <w:proofErr w:type="gramEnd"/>
      <w:r w:rsidR="00BC4DF2" w:rsidRPr="00E35170">
        <w:rPr>
          <w:sz w:val="28"/>
          <w:szCs w:val="28"/>
        </w:rPr>
        <w:t xml:space="preserve">я полного исполнения расходных обязательств </w:t>
      </w:r>
      <w:r w:rsidR="00352742" w:rsidRPr="00E35170">
        <w:rPr>
          <w:sz w:val="28"/>
          <w:szCs w:val="28"/>
        </w:rPr>
        <w:t xml:space="preserve">и долговых обязательств </w:t>
      </w:r>
      <w:r w:rsidR="00352742" w:rsidRPr="00E35170">
        <w:rPr>
          <w:rFonts w:eastAsia="Arial Unicode MS"/>
          <w:sz w:val="28"/>
          <w:szCs w:val="28"/>
        </w:rPr>
        <w:t>муниципального образования</w:t>
      </w:r>
      <w:r w:rsidR="0057763C" w:rsidRPr="00E35170">
        <w:rPr>
          <w:rFonts w:eastAsia="Arial Unicode MS"/>
          <w:sz w:val="28"/>
          <w:szCs w:val="28"/>
        </w:rPr>
        <w:t xml:space="preserve"> </w:t>
      </w:r>
      <w:r w:rsidR="0057763C" w:rsidRPr="00E35170">
        <w:rPr>
          <w:sz w:val="28"/>
          <w:szCs w:val="28"/>
        </w:rPr>
        <w:t>(при наличии муниципального долга)</w:t>
      </w:r>
      <w:r w:rsidR="00352742" w:rsidRPr="00E35170">
        <w:rPr>
          <w:rFonts w:eastAsia="Arial Unicode MS"/>
          <w:sz w:val="28"/>
          <w:szCs w:val="28"/>
        </w:rPr>
        <w:t>;</w:t>
      </w:r>
    </w:p>
    <w:p w:rsidR="0057763C" w:rsidRPr="00E35170" w:rsidRDefault="00E35170" w:rsidP="00996F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ED0">
        <w:rPr>
          <w:sz w:val="28"/>
          <w:szCs w:val="28"/>
        </w:rPr>
        <w:t>4</w:t>
      </w:r>
      <w:r w:rsidR="0057763C" w:rsidRPr="00E35170">
        <w:rPr>
          <w:sz w:val="28"/>
          <w:szCs w:val="28"/>
        </w:rPr>
        <w:t>) риск рефинансирования – вероятность потерь вследствие невыгодных условий привлечения заимствований на вынужденное рефинансирование уже имеющихся обязательств (при наличии муниципального долга).</w:t>
      </w:r>
    </w:p>
    <w:p w:rsidR="00147078" w:rsidRPr="00E35170" w:rsidRDefault="003D192E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 xml:space="preserve">Основными мерами, принимаемыми в отношении управления рисками, связанными с реализацией долговой политики, являются: </w:t>
      </w:r>
    </w:p>
    <w:p w:rsidR="00147078" w:rsidRPr="00E35170" w:rsidRDefault="003D192E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 xml:space="preserve">1) достоверное прогнозирование </w:t>
      </w:r>
      <w:r w:rsidRPr="00E35170">
        <w:rPr>
          <w:sz w:val="28"/>
          <w:szCs w:val="28"/>
        </w:rPr>
        <w:t xml:space="preserve">налоговых и неналоговых </w:t>
      </w:r>
      <w:r w:rsidR="00147078" w:rsidRPr="00E35170">
        <w:rPr>
          <w:sz w:val="28"/>
          <w:szCs w:val="28"/>
        </w:rPr>
        <w:t xml:space="preserve">доходов местного бюджета и поступлений по источникам финансирования дефицита местного бюджета; </w:t>
      </w:r>
    </w:p>
    <w:p w:rsidR="00147078" w:rsidRPr="00E35170" w:rsidRDefault="003D192E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 xml:space="preserve">2) планирование муниципальных заимствований с учетом экономических возможностей по привлечению ресурсов; </w:t>
      </w:r>
    </w:p>
    <w:p w:rsidR="00147078" w:rsidRPr="00E35170" w:rsidRDefault="003D192E" w:rsidP="00996F26">
      <w:pPr>
        <w:pStyle w:val="a3"/>
        <w:spacing w:line="276" w:lineRule="auto"/>
        <w:jc w:val="both"/>
        <w:rPr>
          <w:sz w:val="28"/>
          <w:szCs w:val="28"/>
        </w:rPr>
      </w:pPr>
      <w:r w:rsidRPr="00E35170">
        <w:rPr>
          <w:sz w:val="28"/>
          <w:szCs w:val="28"/>
        </w:rPr>
        <w:tab/>
      </w:r>
      <w:r w:rsidR="00147078" w:rsidRPr="00E35170">
        <w:rPr>
          <w:sz w:val="28"/>
          <w:szCs w:val="28"/>
        </w:rPr>
        <w:t>3) принятие взвешенных и экономически обоснованных решений по принятию долговых обязательств.</w:t>
      </w:r>
    </w:p>
    <w:p w:rsidR="00E35170" w:rsidRPr="00E35170" w:rsidRDefault="00E35170" w:rsidP="00996F26">
      <w:pPr>
        <w:pStyle w:val="a3"/>
        <w:spacing w:line="276" w:lineRule="auto"/>
        <w:jc w:val="both"/>
        <w:rPr>
          <w:sz w:val="28"/>
          <w:szCs w:val="28"/>
        </w:rPr>
      </w:pPr>
    </w:p>
    <w:sectPr w:rsidR="00E35170" w:rsidRPr="00E35170" w:rsidSect="00E7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6D0B"/>
    <w:rsid w:val="0005409B"/>
    <w:rsid w:val="000650C4"/>
    <w:rsid w:val="0008420C"/>
    <w:rsid w:val="0009076C"/>
    <w:rsid w:val="00097283"/>
    <w:rsid w:val="00147078"/>
    <w:rsid w:val="001501A5"/>
    <w:rsid w:val="00161D28"/>
    <w:rsid w:val="001F26E3"/>
    <w:rsid w:val="0023229C"/>
    <w:rsid w:val="00244943"/>
    <w:rsid w:val="00250772"/>
    <w:rsid w:val="002A4F9B"/>
    <w:rsid w:val="002A66F4"/>
    <w:rsid w:val="002B0CF6"/>
    <w:rsid w:val="002B44E8"/>
    <w:rsid w:val="002F3FF6"/>
    <w:rsid w:val="00331260"/>
    <w:rsid w:val="003426CA"/>
    <w:rsid w:val="00352742"/>
    <w:rsid w:val="00354694"/>
    <w:rsid w:val="003737EF"/>
    <w:rsid w:val="00392020"/>
    <w:rsid w:val="003A53DF"/>
    <w:rsid w:val="003C1D9F"/>
    <w:rsid w:val="003D192E"/>
    <w:rsid w:val="003E16CB"/>
    <w:rsid w:val="003F5554"/>
    <w:rsid w:val="00422845"/>
    <w:rsid w:val="00430B64"/>
    <w:rsid w:val="00456DF2"/>
    <w:rsid w:val="004626BB"/>
    <w:rsid w:val="00463881"/>
    <w:rsid w:val="004D3DD9"/>
    <w:rsid w:val="004F7C4C"/>
    <w:rsid w:val="00504EFA"/>
    <w:rsid w:val="0051314D"/>
    <w:rsid w:val="00517F76"/>
    <w:rsid w:val="005303EE"/>
    <w:rsid w:val="0055277E"/>
    <w:rsid w:val="00563A8E"/>
    <w:rsid w:val="0057763C"/>
    <w:rsid w:val="005C2A82"/>
    <w:rsid w:val="0060129D"/>
    <w:rsid w:val="006835A6"/>
    <w:rsid w:val="006B091A"/>
    <w:rsid w:val="006B65A1"/>
    <w:rsid w:val="006D34AA"/>
    <w:rsid w:val="006E20B3"/>
    <w:rsid w:val="00755610"/>
    <w:rsid w:val="00772ED0"/>
    <w:rsid w:val="007803F5"/>
    <w:rsid w:val="007B3E84"/>
    <w:rsid w:val="007F4BC6"/>
    <w:rsid w:val="00814386"/>
    <w:rsid w:val="00821D67"/>
    <w:rsid w:val="00836D0B"/>
    <w:rsid w:val="00861281"/>
    <w:rsid w:val="008617EE"/>
    <w:rsid w:val="00862A4E"/>
    <w:rsid w:val="00872A9E"/>
    <w:rsid w:val="00882D5B"/>
    <w:rsid w:val="008D6952"/>
    <w:rsid w:val="00905DFA"/>
    <w:rsid w:val="00911C6C"/>
    <w:rsid w:val="0092143A"/>
    <w:rsid w:val="009264FA"/>
    <w:rsid w:val="00954553"/>
    <w:rsid w:val="00996F26"/>
    <w:rsid w:val="009B32EF"/>
    <w:rsid w:val="009D694A"/>
    <w:rsid w:val="00A17A34"/>
    <w:rsid w:val="00A33EA8"/>
    <w:rsid w:val="00A35BE5"/>
    <w:rsid w:val="00A473B7"/>
    <w:rsid w:val="00A66EAF"/>
    <w:rsid w:val="00AA20C9"/>
    <w:rsid w:val="00B0659E"/>
    <w:rsid w:val="00B26AF6"/>
    <w:rsid w:val="00B36EE1"/>
    <w:rsid w:val="00B46905"/>
    <w:rsid w:val="00B62CEE"/>
    <w:rsid w:val="00BC4DF2"/>
    <w:rsid w:val="00BD03D6"/>
    <w:rsid w:val="00BD27F9"/>
    <w:rsid w:val="00BF1F40"/>
    <w:rsid w:val="00BF447C"/>
    <w:rsid w:val="00C36E4C"/>
    <w:rsid w:val="00C50125"/>
    <w:rsid w:val="00C85517"/>
    <w:rsid w:val="00C860F9"/>
    <w:rsid w:val="00D42A37"/>
    <w:rsid w:val="00D473D4"/>
    <w:rsid w:val="00D675C9"/>
    <w:rsid w:val="00D67F82"/>
    <w:rsid w:val="00DA2360"/>
    <w:rsid w:val="00DC0224"/>
    <w:rsid w:val="00DC25B9"/>
    <w:rsid w:val="00DF34A7"/>
    <w:rsid w:val="00E017DD"/>
    <w:rsid w:val="00E02300"/>
    <w:rsid w:val="00E17AA9"/>
    <w:rsid w:val="00E253ED"/>
    <w:rsid w:val="00E35170"/>
    <w:rsid w:val="00E7184E"/>
    <w:rsid w:val="00E968E7"/>
    <w:rsid w:val="00EB31B0"/>
    <w:rsid w:val="00EB3BDD"/>
    <w:rsid w:val="00EC7367"/>
    <w:rsid w:val="00F07850"/>
    <w:rsid w:val="00F17A8F"/>
    <w:rsid w:val="00F26C70"/>
    <w:rsid w:val="00F87892"/>
    <w:rsid w:val="00F9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83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17A34"/>
    <w:rPr>
      <w:rFonts w:ascii="Times New Roman" w:hAnsi="Times New Roman" w:cs="Times New Roman"/>
      <w:sz w:val="26"/>
      <w:szCs w:val="26"/>
    </w:rPr>
  </w:style>
  <w:style w:type="paragraph" w:customStyle="1" w:styleId="NormalExport">
    <w:name w:val="Normal_Export"/>
    <w:basedOn w:val="a"/>
    <w:rsid w:val="0005409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ar-SA"/>
    </w:rPr>
  </w:style>
  <w:style w:type="character" w:customStyle="1" w:styleId="WW8Num1z3">
    <w:name w:val="WW8Num1z3"/>
    <w:rsid w:val="004626BB"/>
  </w:style>
  <w:style w:type="paragraph" w:customStyle="1" w:styleId="Default">
    <w:name w:val="Default"/>
    <w:rsid w:val="0016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44943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dcterms:created xsi:type="dcterms:W3CDTF">2024-11-28T05:45:00Z</dcterms:created>
  <dcterms:modified xsi:type="dcterms:W3CDTF">2024-11-29T12:03:00Z</dcterms:modified>
</cp:coreProperties>
</file>